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东北石油大学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年全日制普通本专科招生章程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第一章</w:t>
      </w:r>
      <w:r>
        <w:rPr>
          <w:rFonts w:ascii="Calibri" w:eastAsia="Calibri" w:hAnsi="Calibri" w:cs="Calibri"/>
          <w:b/>
          <w:bCs/>
          <w:color w:val="666666"/>
        </w:rPr>
        <w:t>   </w:t>
      </w:r>
      <w:r>
        <w:rPr>
          <w:rFonts w:ascii="SimHei" w:eastAsia="SimHei" w:hAnsi="SimHei" w:cs="SimHei"/>
          <w:b/>
          <w:bCs/>
          <w:color w:val="666666"/>
        </w:rPr>
        <w:t xml:space="preserve"> 总</w:t>
      </w:r>
      <w:r>
        <w:rPr>
          <w:rFonts w:ascii="Calibri" w:eastAsia="Calibri" w:hAnsi="Calibri" w:cs="Calibri"/>
          <w:b/>
          <w:bCs/>
          <w:color w:val="666666"/>
        </w:rPr>
        <w:t>   </w:t>
      </w:r>
      <w:r>
        <w:rPr>
          <w:rFonts w:ascii="SimHei" w:eastAsia="SimHei" w:hAnsi="SimHei" w:cs="SimHei"/>
          <w:b/>
          <w:bCs/>
          <w:color w:val="666666"/>
        </w:rPr>
        <w:t xml:space="preserve">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第一条 为了确保东北石油大学2018年招生工作的顺利进行，提高生源质量，维护考生合法权益，规范招生行为，体现“公平竞争、公正选拔、公开透明，全面考核、综合评价、择优录取”的招生原则，根据《中华人民共和国教育法》、《中华人民共和国高等教育法》和教育部及黑龙江省教育厅的有关规定，结合东北石油大学招生工作的具体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第二条 本章程适用于东北石油大学全日制普通本专科招生工作 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第三条 学校全称：东北石油大学。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英文名称为“</w:t>
      </w:r>
      <w:r>
        <w:rPr>
          <w:rFonts w:ascii="SimSun" w:eastAsia="SimSun" w:hAnsi="SimSun" w:cs="SimSun"/>
          <w:b/>
          <w:bCs/>
          <w:color w:val="666666"/>
        </w:rPr>
        <w:t>Northeast Petroleum University</w:t>
      </w:r>
      <w:r>
        <w:rPr>
          <w:rFonts w:ascii="SimSun" w:eastAsia="SimSun" w:hAnsi="SimSun" w:cs="SimSun"/>
          <w:color w:val="666666"/>
        </w:rPr>
        <w:t>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第四条  学校代码：10220。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第五条  办学性质：公办、全日制普通本科高等学校。</w:t>
      </w:r>
      <w:r>
        <w:rPr>
          <w:rFonts w:ascii="SimSun" w:eastAsia="SimSun" w:hAnsi="SimSun" w:cs="SimSun"/>
          <w:color w:val="666666"/>
        </w:rPr>
        <w:t>学校上级主管部门为黑龙江省教育厅。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第六条  办学层次：本科。学校具有博士、硕士、学士三级学位授予权，以培养全日制普通本科、硕士、博士研究生为主。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第七条  颁发毕业证书及学位证书的学校名称：东北石油大学。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第八条 办学地点：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大庆校区地址：黑龙江省大庆市高新技术产业开发区学府街99号   邮编：163318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秦皇岛校区地址：河北省秦皇岛市河北大街西段550号            邮编：066044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108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第二章</w:t>
      </w:r>
      <w:r>
        <w:rPr>
          <w:rFonts w:ascii="Calibri" w:eastAsia="Calibri" w:hAnsi="Calibri" w:cs="Calibri"/>
          <w:b/>
          <w:bCs/>
          <w:color w:val="666666"/>
        </w:rPr>
        <w:t>   </w:t>
      </w:r>
      <w:r>
        <w:rPr>
          <w:rFonts w:ascii="SimHei" w:eastAsia="SimHei" w:hAnsi="SimHei" w:cs="SimHei"/>
          <w:b/>
          <w:bCs/>
          <w:color w:val="666666"/>
        </w:rPr>
        <w:t xml:space="preserve"> 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第九条 东北石油大学成立由学校主要领导以及有关部门负责人、教师、校友及学生代表组成的招生委员会，全面贯彻落实国家招生工作的有关政策，负责制定学校招生政策，讨论决定学校招生的重大事宜。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第十条 东北石油大学招生办公室是学校的常设机构，负责学校全日制普通本专科招生的日常工作。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第十一条 东北石油大学招生办公室根据需要组建赴各省（自治区、直辖市）招生宣传工作组，负责学校在该省（自治区、直辖市）的招生宣传和咨询工作。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第十二条 学校纪检部门负责监督招生政策和规定的落实，维护广大考生和学校的合法权益。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第三章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第十三条 招生计划编制原则：按照教育部计划编制要求，根据学校历年在各省(自治区、直辖市)的招生情况、各学科专业在各省(自治区、直辖市)的需求情况，兼顾各省(自治区、直辖市)的高考人数比率、生源质量及考生需求等因素进行分配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第十四条 有关各省(自治区、直辖市)的分专业招生人数及录取批次以各省(自治区、直辖市)招办公布的结果为准，也可登录我校</w:t>
      </w:r>
      <w:r>
        <w:rPr>
          <w:rFonts w:ascii="SimSun" w:eastAsia="SimSun" w:hAnsi="SimSun" w:cs="SimSun"/>
          <w:color w:val="666666"/>
        </w:rPr>
        <w:t>招生信息网(</w:t>
      </w:r>
      <w:hyperlink r:id="rId4" w:history="1">
        <w:r>
          <w:rPr>
            <w:rFonts w:ascii="SimSun" w:eastAsia="SimSun" w:hAnsi="SimSun" w:cs="SimSun"/>
            <w:color w:val="666666"/>
            <w:sz w:val="21"/>
            <w:szCs w:val="21"/>
            <w:u w:val="single" w:color="666666"/>
          </w:rPr>
          <w:t>http://zsb.nepu.edu.cn</w:t>
        </w:r>
      </w:hyperlink>
      <w:r>
        <w:rPr>
          <w:rFonts w:ascii="SimSun" w:eastAsia="SimSun" w:hAnsi="SimSun" w:cs="SimSun"/>
          <w:color w:val="000000"/>
        </w:rPr>
        <w:t>)</w:t>
      </w:r>
      <w:r>
        <w:rPr>
          <w:rFonts w:ascii="SimSun" w:eastAsia="SimSun" w:hAnsi="SimSun" w:cs="SimSun"/>
          <w:color w:val="666666"/>
        </w:rPr>
        <w:t>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第十五条 2018年我校不预留计划。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第十六条 2018年我校按专业类招生的专业有：计算机类（包括计算机科学与技术、软件工程、物联网工程三个专业）、工商管理类（包括工商管理、市场营销、会计学、财务管理、人力资源管理五个专业）。按专业类录取的学生，入学以后将按专业类统一组织基础教学，大学二年级第二学期进行专业分流，达到学籍管理规定等有关要求，按分流后的专业颁发毕业证书，授予学位。具体实施办法按照《东北石油大学本科人才按类招生与培养实施办法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第十七条  资源勘查工程（本硕博连读班）和勘查技术与工程（本硕连读班），实行动态考核与分流培养末位淘汰的管理机制，具体实施办法按照《东北石油大学“本硕博”连读班培养计划实施办法》执行。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第四章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第十八条 东北石油大学根据教育部有关文件精神，严格执行教育部“学校负责，招办监督”录取体制的规定。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第十九条 东北石油大学根据招生省（自治区、直辖市）当年生源情况，确定调档比例。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第二十条 学校2018年录取工作继续采取计算机网上远程录取方式进行。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第二十一条  学校按照“分数优先，兼顾志愿”的原则录取，不设志愿级差和专业级差。按照生源所在地的招生计划以及考生志愿，按考生投档成绩由高到低排序录取，若考生投档成绩相同，则按下述原则录取：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（1）</w:t>
      </w:r>
      <w:r>
        <w:rPr>
          <w:color w:val="666666"/>
          <w:sz w:val="14"/>
          <w:szCs w:val="14"/>
        </w:rPr>
        <w:t> </w:t>
      </w:r>
      <w:r>
        <w:rPr>
          <w:rFonts w:ascii="SimSun" w:eastAsia="SimSun" w:hAnsi="SimSun" w:cs="SimSun"/>
          <w:color w:val="666666"/>
        </w:rPr>
        <w:t>首先按照考生专业志愿先后顺序录取；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2）若考生专业志愿顺序相同，则按照单科成绩高低（各省、自治区、直辖市规定单科成绩顺序的，则按照各省、自治区、直辖市的规定执行；否则，文史类考生按照语文、外语、文科综合，理工类考生按照数学、外语、理科综合的单科顺序）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第二十二条 对于投档考生，分数未达到所报专业最低录取分数线且不服从专业调剂，一般做退档处理。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第二十三条 生源所在省（自治区、直辖市）确定的年度加分政策，我校按照教育部以及生源所在地省级招生办公室有关文件规定执行。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第二十四条 工业设计、建筑学、城乡规划三个专业要求考生有一定的美术基础。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第二十五条 我校执行《普通高等学校招生体检工作指导意见》的文件精神，对考生的身高不做特殊要求。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第二十六条 艺术类专业的录取原则：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（1）获得各省（自治区）招生办公室组织的专业考试（省统考）合格证书；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（2）文化课成绩达到各省（自治区）招生办公室划定的艺术类本科录取控制分数线；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（3）按照省统考专业测试成绩从高到低录取；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（4）省统考专业测试成绩相同的考生，按照文化课成绩从高到低录取；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（5）对于音乐表演专业，声乐和器乐按照省统考专业测试成绩分开排序，分别录取。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第五章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学费标准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第二十七条 根据国家规定，学生入学须缴纳学费、住宿费和其它费用。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第二十八条 我校根据黑龙江省物价局、黑龙江省财政厅下发的有关文件规定收取学费。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第二十九条 对于按专业类招生的学生，专业分流前先按该专业类所含专业的最低学费标准收取学费，待专业分流后再按所分流专业的学费标准收取学费，并补齐专业分流前的差额。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b/>
          <w:bCs/>
          <w:color w:val="666666"/>
        </w:rPr>
        <w:t>东北石油大学学费标准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482"/>
        <w:gridCol w:w="2769"/>
        <w:gridCol w:w="4516"/>
        <w:gridCol w:w="2438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  <w:tblHeader/>
        </w:trPr>
        <w:tc>
          <w:tcPr>
            <w:tcW w:w="31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7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88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7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学费（元）</w:t>
            </w:r>
          </w:p>
        </w:tc>
        <w:tc>
          <w:tcPr>
            <w:tcW w:w="3230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7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625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7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学费（元）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测控技术与仪器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建筑环境与能源应用工程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地球化学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地球物理学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教育技术学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电气工程及其自动化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金属材料工程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电子科学与技术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勘查技术与工程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电子信息科学与技术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社会工作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高分子材料与工程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石油工程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给排水科学与工程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工程管理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工程力学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土木工程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工商管理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信息管理与信息系统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工业设计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信息与计算科学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国际经济与贸易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行政管理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过程装备与控制工程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应用化学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应用物理学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化学工程与工艺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英语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油气储运工程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资源勘查工程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机械设计制造及其自动化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自动化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计算机科学与技术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人力资源管理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环境设计（艺术类）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能源化学工程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音乐表演（艺术类）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汉语言文学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舞蹈编导（艺术类）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车辆工程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俄语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公共事业管理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海洋油气工程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经济学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能源与动力工程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地质学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数学与应用数学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安全工程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应用统计学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光电信息科学与工程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新能源材料与器件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323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城乡规划</w:t>
            </w:r>
          </w:p>
        </w:tc>
        <w:tc>
          <w:tcPr>
            <w:tcW w:w="16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/>
        </w:trPr>
        <w:tc>
          <w:tcPr>
            <w:tcW w:w="3165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智能电网信息工程</w:t>
            </w:r>
          </w:p>
        </w:tc>
        <w:tc>
          <w:tcPr>
            <w:tcW w:w="18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440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1785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软件工程     学费按2017年实际收费标准执行。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8850" w:type="dxa"/>
            <w:gridSpan w:val="4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15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秦皇岛校区的高职（专科）各专业学费标准均为6000元/学年·生。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第六章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奖（助）学金制度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NSimSun" w:eastAsia="NSimSun" w:hAnsi="NSimSun" w:cs="N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第三十条 学校设立优秀新生奖学金和优秀学生奖学金，以及国家奖学金、“孙越崎”奖学金等，按照有关规定予以评审。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第三十一条 按照国家有关规定，为了帮助家庭经济困难的学生顺利完成学业，学校建立了勤工助学、特殊困难补助等资助经济困难学生的制度，通过积极协助学生申请国家助学贷款、安排勤工助学岗位、筹集社会捐助等方式帮助困难学生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202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b/>
          <w:bCs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第七章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学校招生咨询联系方式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第三十二条 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大庆校区电话：0459-6503662，0459-6504671，0459-6504674；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秦皇岛校区电话：0335-8065200；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学校网址：</w:t>
      </w:r>
      <w:hyperlink r:id="rId5" w:history="1">
        <w:r>
          <w:rPr>
            <w:rFonts w:ascii="SimSun" w:eastAsia="SimSun" w:hAnsi="SimSun" w:cs="SimSun"/>
            <w:color w:val="000000"/>
            <w:sz w:val="21"/>
            <w:szCs w:val="21"/>
            <w:u w:val="single" w:color="666666"/>
          </w:rPr>
          <w:t>http://www.nepu.edu.cn</w:t>
        </w:r>
      </w:hyperlink>
      <w:r>
        <w:rPr>
          <w:rFonts w:ascii="SimSun" w:eastAsia="SimSun" w:hAnsi="SimSun" w:cs="SimSun"/>
          <w:color w:val="666666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招生信息网网址：</w:t>
      </w:r>
      <w:hyperlink r:id="rId4" w:history="1">
        <w:r>
          <w:rPr>
            <w:rFonts w:ascii="SimSun" w:eastAsia="SimSun" w:hAnsi="SimSun" w:cs="SimSun"/>
            <w:color w:val="000000"/>
            <w:sz w:val="21"/>
            <w:szCs w:val="21"/>
            <w:u w:val="single" w:color="666666"/>
          </w:rPr>
          <w:t>http://zsb.nepu.edu.cn</w:t>
        </w:r>
      </w:hyperlink>
      <w:r>
        <w:rPr>
          <w:rFonts w:ascii="SimSun" w:eastAsia="SimSun" w:hAnsi="SimSun" w:cs="SimSun"/>
          <w:color w:val="666666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招生办公室电子邮箱：</w:t>
      </w:r>
      <w:hyperlink r:id="rId6" w:history="1">
        <w:r>
          <w:rPr>
            <w:rFonts w:ascii="SimSun" w:eastAsia="SimSun" w:hAnsi="SimSun" w:cs="SimSun"/>
            <w:color w:val="000000"/>
            <w:sz w:val="21"/>
            <w:szCs w:val="21"/>
            <w:u w:val="single" w:color="666666"/>
          </w:rPr>
          <w:t>zsb007@126.com</w:t>
        </w:r>
      </w:hyperlink>
      <w:r>
        <w:rPr>
          <w:rFonts w:ascii="SimSun" w:eastAsia="SimSun" w:hAnsi="SimSun" w:cs="SimSun"/>
          <w:color w:val="666666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720" w:right="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Hei" w:eastAsia="SimHei" w:hAnsi="SimHei" w:cs="SimHei"/>
          <w:b/>
          <w:bCs/>
          <w:color w:val="666666"/>
        </w:rPr>
        <w:t>第八章</w:t>
      </w:r>
      <w:r>
        <w:rPr>
          <w:rFonts w:ascii="NSimSun" w:eastAsia="NSimSun" w:hAnsi="NSimSun" w:cs="NSimSun"/>
          <w:b/>
          <w:bCs/>
          <w:color w:val="666666"/>
        </w:rPr>
        <w:t>   </w:t>
      </w:r>
      <w:r>
        <w:rPr>
          <w:rFonts w:ascii="Calibri" w:eastAsia="Calibri" w:hAnsi="Calibri" w:cs="Calibri"/>
          <w:b/>
          <w:bCs/>
          <w:color w:val="666666"/>
        </w:rPr>
        <w:t> </w:t>
      </w:r>
      <w:r>
        <w:rPr>
          <w:rFonts w:ascii="SimHei" w:eastAsia="SimHei" w:hAnsi="SimHei" w:cs="SimHei"/>
          <w:b/>
          <w:bCs/>
          <w:color w:val="666666"/>
        </w:rPr>
        <w:t>附</w:t>
      </w:r>
      <w:r>
        <w:rPr>
          <w:rFonts w:ascii="NSimSun" w:eastAsia="NSimSun" w:hAnsi="NSimSun" w:cs="NSimSun"/>
          <w:b/>
          <w:bCs/>
          <w:color w:val="666666"/>
        </w:rPr>
        <w:t>  </w:t>
      </w:r>
      <w:r>
        <w:rPr>
          <w:rFonts w:ascii="Calibri" w:eastAsia="Calibri" w:hAnsi="Calibri" w:cs="Calibri"/>
          <w:b/>
          <w:bCs/>
          <w:color w:val="666666"/>
        </w:rPr>
        <w:t>  </w:t>
      </w:r>
      <w:r>
        <w:rPr>
          <w:rFonts w:ascii="SimHei" w:eastAsia="SimHei" w:hAnsi="SimHei" w:cs="SimHei"/>
          <w:b/>
          <w:bCs/>
          <w:color w:val="666666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Calibri" w:eastAsia="Calibri" w:hAnsi="Calibri" w:cs="Calibri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第三十三条 本章程将根据教育部、生源地省级招生管理部门当年招生政策的调整进行修订。本章程若与国家法律、法规和上级有关政策相抵触，以国家法律、法规和上级有关政策规定为准。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第三十四条 本章程未尽事宜由东北石油大学招生办公室负责解释。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568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    东北石油大学招生办公室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60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SimSun" w:eastAsia="SimSun" w:hAnsi="SimSun" w:cs="SimSun"/>
          <w:color w:val="666666"/>
        </w:rPr>
        <w:t>      2018</w:t>
      </w:r>
      <w:r>
        <w:rPr>
          <w:rFonts w:ascii="SimSun" w:eastAsia="SimSun" w:hAnsi="SimSun" w:cs="SimSun"/>
          <w:color w:val="666666"/>
        </w:rPr>
        <w:t>年3月26日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黑龙江八一农垦大学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东北林业大学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黑龙江大学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哈尔滨师范大学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黑龙江中医药大学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东北林业大学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黑龙江八一农垦大学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22/0417/22161.html" TargetMode="External" /><Relationship Id="rId11" Type="http://schemas.openxmlformats.org/officeDocument/2006/relationships/hyperlink" Target="http://www.gk114.com/a/gxzs/zszc/hlj/2022/0417/22160.html" TargetMode="External" /><Relationship Id="rId12" Type="http://schemas.openxmlformats.org/officeDocument/2006/relationships/hyperlink" Target="http://www.gk114.com/a/gxzs/zszc/hlj/2022/0417/22159.html" TargetMode="External" /><Relationship Id="rId13" Type="http://schemas.openxmlformats.org/officeDocument/2006/relationships/hyperlink" Target="http://www.gk114.com/a/gxzs/zszc/hlj/2022/0417/22158.html" TargetMode="External" /><Relationship Id="rId14" Type="http://schemas.openxmlformats.org/officeDocument/2006/relationships/hyperlink" Target="http://www.gk114.com/a/gxzs/zszc/hlj/2022/0404/22060.html" TargetMode="External" /><Relationship Id="rId15" Type="http://schemas.openxmlformats.org/officeDocument/2006/relationships/hyperlink" Target="http://www.gk114.com/a/gxzs/zszc/hlj/2019/0221/6559.html" TargetMode="External" /><Relationship Id="rId16" Type="http://schemas.openxmlformats.org/officeDocument/2006/relationships/hyperlink" Target="http://www.gk114.com/a/gxzs/zszc/hlj/2019/0221/6558.html" TargetMode="External" /><Relationship Id="rId17" Type="http://schemas.openxmlformats.org/officeDocument/2006/relationships/hyperlink" Target="http://www.gk114.com/a/gxzs/zszc/hlj/2019/0221/655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zsb.nepu.edu.cn/" TargetMode="External" /><Relationship Id="rId5" Type="http://schemas.openxmlformats.org/officeDocument/2006/relationships/hyperlink" Target="http://www.nepu.edu.cn/" TargetMode="External" /><Relationship Id="rId6" Type="http://schemas.openxmlformats.org/officeDocument/2006/relationships/hyperlink" Target="mailto:zsb007@126.com" TargetMode="External" /><Relationship Id="rId7" Type="http://schemas.openxmlformats.org/officeDocument/2006/relationships/hyperlink" Target="http://www.gk114.com/a/gxzs/zszc/hlj/2019/0221/6554.html" TargetMode="External" /><Relationship Id="rId8" Type="http://schemas.openxmlformats.org/officeDocument/2006/relationships/hyperlink" Target="http://www.gk114.com/a/gxzs/zszc/hlj/2019/0221/6556.html" TargetMode="External" /><Relationship Id="rId9" Type="http://schemas.openxmlformats.org/officeDocument/2006/relationships/hyperlink" Target="http://www.gk114.com/a/gxzs/zszc/hlj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