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中北大学信息商务学院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为了保证招生工作的顺利进行，规范招生行为，提高生源质量，维护考生合法权益，贯彻落实</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，根据《中华人民共和国教育法》、《中华人民共和国高等教育法》等法律、法规，并结合学院实际情况，特制定本章程。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学院名称：中北大学信息商务学院，英文名称：</w:t>
      </w:r>
      <w:r>
        <w:rPr>
          <w:rFonts w:ascii="Times New Roman" w:eastAsia="Times New Roman" w:hAnsi="Times New Roman" w:cs="Times New Roman"/>
        </w:rPr>
        <w:t xml:space="preserve">College of Information and Business,North University of China.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13538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办学地址：山西省晋中市工业园区</w:t>
      </w:r>
      <w:r>
        <w:rPr>
          <w:rFonts w:ascii="Times New Roman" w:eastAsia="Times New Roman" w:hAnsi="Times New Roman" w:cs="Times New Roman"/>
        </w:rPr>
        <w:t>8</w:t>
      </w:r>
      <w:r>
        <w:rPr>
          <w:rFonts w:ascii="SimSun" w:eastAsia="SimSun" w:hAnsi="SimSun" w:cs="SimSun"/>
        </w:rPr>
        <w:t>号路</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030600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联系方式：学院网址：</w:t>
      </w:r>
      <w:r>
        <w:rPr>
          <w:rFonts w:ascii="Times New Roman" w:eastAsia="Times New Roman" w:hAnsi="Times New Roman" w:cs="Times New Roman"/>
        </w:rPr>
        <w:t>http://www.ibcnuc.edu.cn</w:t>
      </w:r>
      <w:r>
        <w:rPr>
          <w:rFonts w:ascii="SimSun" w:eastAsia="SimSun" w:hAnsi="SimSun" w:cs="SimSun"/>
        </w:rPr>
        <w:t>；学院招生网址：</w:t>
      </w:r>
      <w:r>
        <w:rPr>
          <w:rFonts w:ascii="Times New Roman" w:eastAsia="Times New Roman" w:hAnsi="Times New Roman" w:cs="Times New Roman"/>
        </w:rPr>
        <w:t xml:space="preserve"> http://zsw.ibcnuc.edu.cn</w:t>
      </w:r>
      <w:r>
        <w:rPr>
          <w:rFonts w:ascii="SimSun" w:eastAsia="SimSun" w:hAnsi="SimSun" w:cs="SimSun"/>
        </w:rPr>
        <w:t>；电子邮箱：</w:t>
      </w:r>
      <w:r>
        <w:rPr>
          <w:rFonts w:ascii="Times New Roman" w:eastAsia="Times New Roman" w:hAnsi="Times New Roman" w:cs="Times New Roman"/>
        </w:rPr>
        <w:t>zbxszb@163.com</w:t>
      </w:r>
      <w:r>
        <w:rPr>
          <w:rFonts w:ascii="SimSun" w:eastAsia="SimSun" w:hAnsi="SimSun" w:cs="SimSun"/>
        </w:rPr>
        <w:t>；咨询电话：</w:t>
      </w:r>
      <w:r>
        <w:rPr>
          <w:rFonts w:ascii="Times New Roman" w:eastAsia="Times New Roman" w:hAnsi="Times New Roman" w:cs="Times New Roman"/>
        </w:rPr>
        <w:t xml:space="preserve">0351-3624910 </w:t>
      </w:r>
      <w:r>
        <w:rPr>
          <w:rFonts w:ascii="SimSun" w:eastAsia="SimSun" w:hAnsi="SimSun" w:cs="SimSun"/>
        </w:rPr>
        <w:t>；传真：</w:t>
      </w:r>
      <w:r>
        <w:rPr>
          <w:rFonts w:ascii="Times New Roman" w:eastAsia="Times New Roman" w:hAnsi="Times New Roman" w:cs="Times New Roman"/>
        </w:rPr>
        <w:t>0351-3624912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学院成立招生工作委员会，全面负责学院招生工作，制订学院招生计划，确定招生政策和规则，讨论决定招生重大事项。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学院招生办公室是组织和实施招生工作的常设机构，办公室设在招生就业处，具体负责招生日常工作。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学院成立招生监察工作委员会，对招生工作进行全程监督。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学院执行省级教育行政部门核准的招生计划总数，并通过各省级招生主管部门、学院招生简章、学院网站等方式向社会公布分省（区、市）分专业招生计划。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学院严格遵照教育部规定，预留计划不超过当年招生计划总数的</w:t>
      </w:r>
      <w:r>
        <w:rPr>
          <w:rFonts w:ascii="Times New Roman" w:eastAsia="Times New Roman" w:hAnsi="Times New Roman" w:cs="Times New Roman"/>
        </w:rPr>
        <w:t>1%</w:t>
      </w:r>
      <w:r>
        <w:rPr>
          <w:rFonts w:ascii="SimSun" w:eastAsia="SimSun" w:hAnsi="SimSun" w:cs="SimSun"/>
        </w:rPr>
        <w:t>，预留计划的使用需经学院招生工作领导组集体研究决定，统一通过</w:t>
      </w:r>
      <w:r>
        <w:rPr>
          <w:rFonts w:ascii="Times New Roman" w:eastAsia="Times New Roman" w:hAnsi="Times New Roman" w:cs="Times New Roman"/>
        </w:rPr>
        <w:t>“</w:t>
      </w:r>
      <w:r>
        <w:rPr>
          <w:rFonts w:ascii="SimSun" w:eastAsia="SimSun" w:hAnsi="SimSun" w:cs="SimSun"/>
        </w:rPr>
        <w:t>全国普通高校招生来源计划网上管理系统</w:t>
      </w:r>
      <w:r>
        <w:rPr>
          <w:rFonts w:ascii="Times New Roman" w:eastAsia="Times New Roman" w:hAnsi="Times New Roman" w:cs="Times New Roman"/>
        </w:rPr>
        <w:t>”</w:t>
      </w:r>
      <w:r>
        <w:rPr>
          <w:rFonts w:ascii="SimSun" w:eastAsia="SimSun" w:hAnsi="SimSun" w:cs="SimSun"/>
        </w:rPr>
        <w:t>调整使用。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学院遵循</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学院根据各省生源情况确定投档比例，并且不超过招生计划的</w:t>
      </w:r>
      <w:r>
        <w:rPr>
          <w:rFonts w:ascii="Times New Roman" w:eastAsia="Times New Roman" w:hAnsi="Times New Roman" w:cs="Times New Roman"/>
        </w:rPr>
        <w:t>120%</w:t>
      </w:r>
      <w:r>
        <w:rPr>
          <w:rFonts w:ascii="SimSun" w:eastAsia="SimSun" w:hAnsi="SimSun" w:cs="SimSun"/>
        </w:rPr>
        <w:t>，按各省级招办投档方式接收考生电子档案。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在实行平行志愿投档的省份，招生批次按照各省规定执行。在实行非平行志愿投档录取的省份和批次，学院以院校志愿优先原则录取，当院校第一志愿不满时录取非第一志愿考生。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文史类和理工类进档考生，学院将按照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分数由高到低，结合考生专业志愿择优安排专业录取。若成绩相同，平行志愿投档考生按照投档位次择优录取；非平行志愿投档理工类考生依次以数学、语文、理科综合的单科成绩由高到低顺序录取，文史类考生依次以语文、数学、文科综合的单科成绩由高到低顺序录取。当考生成绩无法满足其所填报的专业志愿时，如果考生服从专业调剂，学院根据考生的文化课成绩由高分到低分调剂到招生计划尚未完成的专业，直至录满。对于按以上原则无法满足专业志愿且不服从专业志愿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学院对江苏省进档考生实行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原则，即对进档考生按投档成绩从高到低进行专业录取，当投档成绩相同时，优先录取学业水平测试等级较高的考生，如等级也相同，优先录取单科成绩较高的考生（理工类排序为数学、语文、外语；文史类排序为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学院对内蒙古自治区进档考生实行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学院对北京、天津、浙江、山东和海南等高考改革省份的录取原则按该省省级招生考试部门公布的最新办法执行。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学院对加分或降分投档考生按教育部和各省级招办有关规定执行。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学院专升本和对口升学招生严格按照国家和山西省招生考试管理中心的相关录取办法执行。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学院外语公共课只开设英语教学，建议非英语语种考生慎重报考。学院不开设少数民族语言教学。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学院招生体检标准按教育部、卫生部、中国残疾人联合会印发的《普通高等学院招生体检工作指导意见》及有关补充规定执行。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材料类专业实施大类招生。录取的学生第一学年实施大类培养，主要学习材料类专业的基础课程和通识课程。大学一年级结束时依据个人意愿、学习成绩、综合表现和学院相关规定，学生可分流到金属材料工程、高分子材料与工程、材料科学与工程专业，毕业证书专业名称按分流专业标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在学院规定学习年限内，修完教育教学计划规定内容，成绩合格，达到学院毕业要求的，颁发中北大学信息商务学院毕业证书；符合中北大学信息商务学院学位授予条件者，颁发中北大学信息商务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学费及其它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学费、住宿费等严格按照山西省物价局批准的收费标准执行。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新生入学后，学院根据有关规定进行新生资格复查和身体健康状况复查，凡不符合录取条件或弄虚作假者，取消入学资格。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院学生享有国家奖学金、国家励志奖学金的评选资格；学院设有董事长奖学金、学院综合素质奖学金等多种形式的奖学金体系，用于激励学生刻苦学习，奋发向上；学院建有包括国家助学金、勤工助学金、生源地贷款等多种资助形式在内的完整资助体系，免除家庭经济困难学生的后顾之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本章程适用于中北大学信息商务学院招生工作，由中北大学信息商务学院负责解释。本章程若有与国家有关政策不一致之处，以国家和上级有关政策为准。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山西财经大学华商学院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年普通全日制本科招生章程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山西农业大学信息学院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2.html" TargetMode="External" /><Relationship Id="rId11" Type="http://schemas.openxmlformats.org/officeDocument/2006/relationships/hyperlink" Target="http://www.gk114.com/a/gxzs/zszc/shanxi/2020/0703/17355.html" TargetMode="External" /><Relationship Id="rId12" Type="http://schemas.openxmlformats.org/officeDocument/2006/relationships/hyperlink" Target="http://www.gk114.com/a/gxzs/zszc/shanxi/2020/0703/17353.html" TargetMode="External" /><Relationship Id="rId13" Type="http://schemas.openxmlformats.org/officeDocument/2006/relationships/hyperlink" Target="http://www.gk114.com/a/gxzs/zszc/shanxi/2020/0703/17352.html" TargetMode="External" /><Relationship Id="rId14" Type="http://schemas.openxmlformats.org/officeDocument/2006/relationships/hyperlink" Target="http://www.gk114.com/a/gxzs/zszc/shanxi/2020/0703/17351.html" TargetMode="External" /><Relationship Id="rId15" Type="http://schemas.openxmlformats.org/officeDocument/2006/relationships/hyperlink" Target="http://www.gk114.com/a/gxzs/zszc/shanxi/2020/0703/17348.html" TargetMode="External" /><Relationship Id="rId16" Type="http://schemas.openxmlformats.org/officeDocument/2006/relationships/hyperlink" Target="http://www.gk114.com/a/gxzs/zszc/shanxi/2020/0703/17341.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00.html" TargetMode="External" /><Relationship Id="rId5" Type="http://schemas.openxmlformats.org/officeDocument/2006/relationships/hyperlink" Target="http://www.gk114.com/a/gxzs/zszc/shanxi/2020/0703/1730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0/0703/173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