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中国人民大学本科招生章程（</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年实行）</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保证学校本科生招生工作顺利进行，切实维护学校和考生的合法权益，根据《中华人民共和国教育法》《中华人民共和国高等教育法》等相关法律、教育部有关规定和《中国人民大学章程》，结合我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全称为中国人民大学，是国家公办、全日制普通高等学校，是教育部直属的综合性、研究型全国重点大学，2017年首批入选国家“世界一流大学和一流学科”建设名单，注册地址为北京市海淀区中关村大街59号，邮编100872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中法学院是经教育部批准，由我校与法国索邦大学、保罗-瓦莱里大学、KEDGE商学院共建的中外合作办学机构，是隶属于我校的非独立法人办学单位，按照单独学校代码（中国人民大学苏州校区）招生，办学地点在我校苏州校区，地址为江苏省苏州市仁爱路158号，邮编215123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凭借鲜明独特的专业优势、雄厚的教学科研实力，培养包括普通本科生、硕士和博士研究生及各层次的国际学生等在内的各类人才。校本部和中法学院培养的本科生，毕业时所颁发学历证书的学校名称均为中国人民大学，证书种类均为普通高等教育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招生工作领导小组为本科生招生工作的决策机构，统一领导学校本科生招生工作；本科生招生工作小组为招生工作领导小组下设机构；招生就业处为学校本科生招生工作的执行机构；本科生招生工作委员会为招生工作领导小组下设的本科生招生咨询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本科生招生工作实行上级主管部门、内部和第三方多重监督机制，在教育部、学校纪检监察部门和本科生招生社会监督委员会的监督下开展工作。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按照教育部分省（区、市）分专业招生计划编制和管理工作要求，我校根据各省（区、市）生源情况、经济社会发展需要、毕业生就业情况、考生对我校各专业的认可度等因素,自主、科学、合理地安排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我校本科生招生分省（区、市）分专业招生计划（含各招生专业或专业类选考科目和报考要求），由各省级招办向社会公布。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我校根据在各省（区、市）的招生计划和生源分布情况确定调档比例，顺序志愿投档的批次原则上不超过120%，平行志愿投档的批次原则上不超过105%。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我校预留少量计划，用于调节各地统考线上生源的不平衡。预留计划不超过招生计划总数的1%。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预留计划使用时，坚持规范有序、质量优先的原则。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招生类型及录取规则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普通本科层次的招生包括普通本科生和各种特殊类型招生。特殊类型招生包括强基计划、高校专项计划（圆梦计划）、保送生、高水平艺术团、高水平运动队、艺术类、内地西藏高中班、内地新疆高中班毕业生计划、新疆协作计划（民考汉）、港澳台侨生等。其中，报考强基计划、保送生、高水平艺术团、高水平运动队、艺术类（音乐表演）、香港中学文凭考试、澳门保送生、台湾高中毕业生等招生类型的考生需根据招生简章要求，参加我校组织的校考测试；高校专项计划（圆梦计划）考生需根据招生简章要求，提交报名材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依据《教育部关于做好2022年普通高校招生工作的通知》及《2022年普通高等学校招生工作规定》，全面贯彻实施高校招生“阳光工程”，本着公平、公正、公开的原则，综合衡量考生德智体美劳各方面素质，择优选拔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投档时，在安排分省（区、市）招生计划的招生项目中，对教育部和各省（区、市）教育主管部门规定的全国性政策性加分，我校认可考生其中最高一项加分，且最高不超过20分。所有高考加分项目及分值均不得用于我校不安排分省招生计划的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对于符合我校录取标准的考生，我校按照投档成绩排队顺序进行录取。高考改革省份投档考生须满足我校选考科目要求。投档成绩相同时，按各省（区、市）确定的同分排序细则进行录取；同分排序后仍完全相同的，我校将使用预留计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确定录取专业时，不设置分数级差。考生分科类（或选考科目或首选科目）按投档成绩排队，从高分到低分按照各专业招生计划录取。投档成绩相同时，按各省（区、市）确定的同分排序细则录取。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所填专业志愿都无法满足的考生，如果服从专业调剂，将调剂到招生计划尚未完成的专业。所填专业志愿都无法满足又不服从调剂的考生，作退档处理。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我校在内蒙古自治区采取分数清的录取规则。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按照顺序志愿投档的批次，在第一志愿考生生源不足的情况下，我校可接收非第一志愿考生。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我校执行教育部、原卫生部、中国残疾人联合会印发的《普通高等学校招生体检工作指导意见》及有关补充规定。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我校英语、俄语、日语、德语、法语、西班牙语专业只招收全国统一高考科目中外语为英语语种的考生；法语（中外合作办学）专业只招收英语或法语语种的考生。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报考外语类专业的考生，如所在省级招生考试机构组织外语口试，考生须参加口试且成绩合格。外语类保送生无此项要求。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特殊类型招生录取办法，按照教育部等国家相关部门的规定、我校本年度相关类型招生简章及合格生公示等规定执行。内地西藏高中班、内地新疆高中班毕业生计划、新疆协作计划（民考汉）及国家民委专项计划的编报及招生录取工作在教育部民族教育司领导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我校提前批普通类专业(不含国家专项及安排在提前批录取的特殊类型招生项目)及中法学院各专业录取的新生，入学后转专业范围限定为招生专业所在学院。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新生入学后，我校统一组织实施新生复查。对于复查不合格的新生，将按照有关规定进行处理，直至取消入学资格。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学费标准：外语类专业每学年6000元，艺术类专业每学年10000元，中法学院专业为每学年60000元，其他专业均为每学年5000元。如果国家调整本年度本科生学费收费标准，我校将按照新规定收取学费。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住宿费标准：根据住宿条件的不同收取不同标准的住宿费用，一般为每学年650—1200元；中法学院学生住宿费在国内期间约为2200元/年，在法国期间按照法方高校标准执行。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 </w:t>
      </w:r>
      <w:r>
        <w:rPr>
          <w:rFonts w:ascii="Microsoft YaHei" w:eastAsia="Microsoft YaHei" w:hAnsi="Microsoft YaHei" w:cs="Microsoft YaHei"/>
          <w:color w:val="666666"/>
          <w:sz w:val="21"/>
          <w:szCs w:val="21"/>
        </w:rPr>
        <w:t>我校学生资助工作坚持“全方位关心、多元化资助、分层次实施、保重点对象”的工作思路，工作中助困与育人相结合，不断创新丰富资助工作形式，拓展资助渠道，整合资助资源，确保资助标准和资助对象精准，为学生的成长成才提供全面保障。电子邮箱：zizhuban@ru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阳光招生热线：400-0123-517，纪检监督举报电话：010-62513046，阳光招生信息平台网址：https://rdzs.ruc.edu.cn，电子信箱：zsb@ruc.edu.cn。各省（区、市）招生组联系方式详见阳光招生信息平台。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附</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本章程通过我校阳光招生信息平台向社会发布，对于各种媒体节选公布的章程内容，如理解有误，以我校公布的完整的招生章程为准。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我校以往有关招生工作的政策、规定如与本章程相冲突，以本章程为准，原政策、规定即时废止；如遇国家法律、法规、规章和上级有关政策变化，以变化后的规定为准。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本章程解释权属于中国人民大学招生就业处。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本章程自公布之日起施行。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12/22411.html" TargetMode="External" /><Relationship Id="rId5" Type="http://schemas.openxmlformats.org/officeDocument/2006/relationships/hyperlink" Target="http://www.gk114.com/a/gxzs/zszc/beijing/2022/0525/2252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