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中国劳动关系学院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高职招生工作顺利进行，切实维护学校和考生的合法权益，依据《中华人民共和国教育法》、《中华人民共和国高等教育法》和教育部有关规定，结合学校具体情况，制定本章程。本章程适用于中国劳动关系学院全日制普通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．学校全称：中国劳动关系学院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．院校代码：</w:t>
      </w:r>
      <w:r>
        <w:rPr>
          <w:rFonts w:ascii="Times New Roman" w:eastAsia="Times New Roman" w:hAnsi="Times New Roman" w:cs="Times New Roman"/>
        </w:rPr>
        <w:t xml:space="preserve">12453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．上级主管部门：中华全国总工会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．办学目标：经过不懈努力，到</w:t>
      </w:r>
      <w:r>
        <w:rPr>
          <w:rFonts w:ascii="Times New Roman" w:eastAsia="Times New Roman" w:hAnsi="Times New Roman" w:cs="Times New Roman"/>
        </w:rPr>
        <w:t>2029</w:t>
      </w:r>
      <w:r>
        <w:rPr>
          <w:rFonts w:ascii="SimSun" w:eastAsia="SimSun" w:hAnsi="SimSun" w:cs="SimSun"/>
        </w:rPr>
        <w:t>年建校</w:t>
      </w:r>
      <w:r>
        <w:rPr>
          <w:rFonts w:ascii="Times New Roman" w:eastAsia="Times New Roman" w:hAnsi="Times New Roman" w:cs="Times New Roman"/>
        </w:rPr>
        <w:t>80</w:t>
      </w:r>
      <w:r>
        <w:rPr>
          <w:rFonts w:ascii="SimSun" w:eastAsia="SimSun" w:hAnsi="SimSun" w:cs="SimSun"/>
        </w:rPr>
        <w:t>周年之际，将学校建成劳动关系和工会领域国内一流、国际知名的大学。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．办学层次及基本修业年限：本科</w:t>
      </w:r>
      <w:r>
        <w:rPr>
          <w:rFonts w:ascii="Times New Roman" w:eastAsia="Times New Roman" w:hAnsi="Times New Roman" w:cs="Times New Roman"/>
        </w:rPr>
        <w:t>4</w:t>
      </w:r>
      <w:r>
        <w:rPr>
          <w:rFonts w:ascii="SimSun" w:eastAsia="SimSun" w:hAnsi="SimSun" w:cs="SimSun"/>
        </w:rPr>
        <w:t>年制、高职酒店管理</w:t>
      </w:r>
      <w:r>
        <w:rPr>
          <w:rFonts w:ascii="Times New Roman" w:eastAsia="Times New Roman" w:hAnsi="Times New Roman" w:cs="Times New Roman"/>
        </w:rPr>
        <w:t>2</w:t>
      </w:r>
      <w:r>
        <w:rPr>
          <w:rFonts w:ascii="SimSun" w:eastAsia="SimSun" w:hAnsi="SimSun" w:cs="SimSun"/>
        </w:rPr>
        <w:t>年制、高职旅游英语</w:t>
      </w:r>
      <w:r>
        <w:rPr>
          <w:rFonts w:ascii="Times New Roman" w:eastAsia="Times New Roman" w:hAnsi="Times New Roman" w:cs="Times New Roman"/>
        </w:rPr>
        <w:t>3</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．校址及校区：学校注册地址为北京市海淀区增光路</w:t>
      </w:r>
      <w:r>
        <w:rPr>
          <w:rFonts w:ascii="Times New Roman" w:eastAsia="Times New Roman" w:hAnsi="Times New Roman" w:cs="Times New Roman"/>
        </w:rPr>
        <w:t>45</w:t>
      </w:r>
      <w:r>
        <w:rPr>
          <w:rFonts w:ascii="SimSun" w:eastAsia="SimSun" w:hAnsi="SimSun" w:cs="SimSun"/>
        </w:rPr>
        <w:t>号。学校设有北京校区和河北涿州校区。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北京校区：北京市海淀区增光路</w:t>
      </w:r>
      <w:r>
        <w:rPr>
          <w:rFonts w:ascii="Times New Roman" w:eastAsia="Times New Roman" w:hAnsi="Times New Roman" w:cs="Times New Roman"/>
        </w:rPr>
        <w:t>45</w:t>
      </w:r>
      <w:r>
        <w:rPr>
          <w:rFonts w:ascii="SimSun" w:eastAsia="SimSun" w:hAnsi="SimSun" w:cs="SimSun"/>
        </w:rPr>
        <w:t>号（邮编：</w:t>
      </w:r>
      <w:r>
        <w:rPr>
          <w:rFonts w:ascii="Times New Roman" w:eastAsia="Times New Roman" w:hAnsi="Times New Roman" w:cs="Times New Roman"/>
        </w:rPr>
        <w:t>100048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涿州校区：河北省涿州市（邮编：</w:t>
      </w:r>
      <w:r>
        <w:rPr>
          <w:rFonts w:ascii="Times New Roman" w:eastAsia="Times New Roman" w:hAnsi="Times New Roman" w:cs="Times New Roman"/>
        </w:rPr>
        <w:t>072750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中国劳动关系学院招生工作全面贯彻教育部有关文件精神。招生录取工作实行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，自觉接受纪检监察部门、考生和家长以及社会各界的监督。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中国劳动关系学院本科、高职招生工作领导小组在学校党委领导下对本科、高职招生工作实行全面领导和管理。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中国劳动关系学院本科、高职招生委员会是招生工作的监督机构，负责本科、高职招生录取工作的政策监督及重大问题的督办。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中国劳动关系学院本科、高职招生办公室是组织和实施招生工作的常设机构，具体负责普通本科、高职招生的日常工作。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按照教育部有关计划编制工作要求，本着优化生源结构、促进区域均衡的原则，根据本校办学条件，统筹考虑社会需求、生源质量、毕业生就业等情况</w:t>
      </w:r>
      <w:r>
        <w:rPr>
          <w:rFonts w:ascii="Times New Roman" w:eastAsia="Times New Roman" w:hAnsi="Times New Roman" w:cs="Times New Roman"/>
        </w:rPr>
        <w:t>,</w:t>
      </w:r>
      <w:r>
        <w:rPr>
          <w:rFonts w:ascii="SimSun" w:eastAsia="SimSun" w:hAnsi="SimSun" w:cs="SimSun"/>
        </w:rPr>
        <w:t>合理制定年度分省分专业招生计划。分省分专业招生计划上报中华全国总工会及教育部审批，来源计划以教育部及各省级招生机构公布为准。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学校将计划总数的</w:t>
      </w:r>
      <w:r>
        <w:rPr>
          <w:rFonts w:ascii="Times New Roman" w:eastAsia="Times New Roman" w:hAnsi="Times New Roman" w:cs="Times New Roman"/>
        </w:rPr>
        <w:t>1%</w:t>
      </w:r>
      <w:r>
        <w:rPr>
          <w:rFonts w:ascii="SimSun" w:eastAsia="SimSun" w:hAnsi="SimSun" w:cs="SimSun"/>
        </w:rPr>
        <w:t>作为预留计划，主要用于均衡各省（区、市）生源质量、调节各地统考上线生源的不平衡。预留计划坚持质量优先、公开透明的原则投放使用。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根据教育部要求，执行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实行平行志愿的批次，按照各省（区、市）招生规定进行录取。对于未实行平行志愿的批次，按考生报考学校志愿先后录取，即先录取本校第一志愿的考生，若第一志愿生源不足时，再考虑录取非一志愿考生。生源不足时，未完成的计划将根据各省（区、市）有关规定进行征集；如征集志愿生源仍不足，将剩余计划调剂到生源较好的地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进档考生，采取分数优先原则，结合专业志愿，从高分到低分，择优录取。各专业之间不设级差。最低录取分数线以上进档考生，当所报专业志愿均不能满足时，如考生服从专业调剂，将其调录到计划未满的专业；如不服从专业调剂，则予以退档。分数相同考生，以省（区、市）内排序先后为准，如省（区、市）内未规定排序原则，依次比较语文、数学、外语、综合科目的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对江苏省进档考生实行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的排序规则录取。本科录取时，学业水平测试基本等级要求为选测科目</w:t>
      </w:r>
      <w:r>
        <w:rPr>
          <w:rFonts w:ascii="Times New Roman" w:eastAsia="Times New Roman" w:hAnsi="Times New Roman" w:cs="Times New Roman"/>
        </w:rPr>
        <w:t>BB</w:t>
      </w:r>
      <w:r>
        <w:rPr>
          <w:rFonts w:ascii="SimSun" w:eastAsia="SimSun" w:hAnsi="SimSun" w:cs="SimSun"/>
        </w:rPr>
        <w:t>、必测科目</w:t>
      </w:r>
      <w:r>
        <w:rPr>
          <w:rFonts w:ascii="Times New Roman" w:eastAsia="Times New Roman" w:hAnsi="Times New Roman" w:cs="Times New Roman"/>
        </w:rPr>
        <w:t>5</w:t>
      </w:r>
      <w:r>
        <w:rPr>
          <w:rFonts w:ascii="SimSun" w:eastAsia="SimSun" w:hAnsi="SimSun" w:cs="SimSun"/>
        </w:rPr>
        <w:t>合格。对分数相同考生，依据选测科目等级由高到低择优录取，等级顺序依次为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；同分同等级考生依次比较语文、数学、外语单科成绩。对内蒙古自治区考生实行</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的录取规则。北京市、天津市、山东省、海南省、上海市和浙江省按其公布的招生录取方案及有关办法执行，选考科目以所公布为准。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根据各省（区、市）生源情况，确定提档比例。顺序志愿提档比例一般控制在当地同类招生计划数</w:t>
      </w:r>
      <w:r>
        <w:rPr>
          <w:rFonts w:ascii="Times New Roman" w:eastAsia="Times New Roman" w:hAnsi="Times New Roman" w:cs="Times New Roman"/>
        </w:rPr>
        <w:t>120%</w:t>
      </w:r>
      <w:r>
        <w:rPr>
          <w:rFonts w:ascii="SimSun" w:eastAsia="SimSun" w:hAnsi="SimSun" w:cs="SimSun"/>
        </w:rPr>
        <w:t>以内，平行志愿提档比例一般控制在当地同类招生计划数</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录取时无男女比例限制。认可教育部和各省（区、市）教育主管部门规定的全国性政策性加分，最大加分不得超过</w:t>
      </w:r>
      <w:r>
        <w:rPr>
          <w:rFonts w:ascii="Times New Roman" w:eastAsia="Times New Roman" w:hAnsi="Times New Roman" w:cs="Times New Roman"/>
        </w:rPr>
        <w:t>20</w:t>
      </w:r>
      <w:r>
        <w:rPr>
          <w:rFonts w:ascii="SimSun" w:eastAsia="SimSun" w:hAnsi="SimSun" w:cs="SimSun"/>
        </w:rPr>
        <w:t>分，并按照加分后的成绩进行录取。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2020</w:t>
      </w:r>
      <w:r>
        <w:rPr>
          <w:rFonts w:ascii="SimSun" w:eastAsia="SimSun" w:hAnsi="SimSun" w:cs="SimSun"/>
        </w:rPr>
        <w:t>年学校各招生专业的公共外语、专业外语教学均为英语。其他语种考生入学后统一改学英语，请非英语语种的考生谨慎填报。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专业录取批次按各省（区、市）规定执行。普通类专业参加普通本科、高职相关批次录取。艺术类戏剧影视文学本科专业在各生源省（区、市）普通类专业相应批次录取并执行相应批次录取规则，授予学位为艺术学学士学位。我校按普通类专业录取的艺术类戏剧影视文学本科专业，学生转专业依据学校普通类专业的转专业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学校在招生网站公布录取进展，所有录取考生可以通过中国劳动关系学院招生网站进行录取结果查询。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新生学费标准按照国家有关规定执行。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安全工程、职业卫生工程、计算机科学与技术专业每人</w:t>
      </w:r>
      <w:r>
        <w:rPr>
          <w:rFonts w:ascii="Times New Roman" w:eastAsia="Times New Roman" w:hAnsi="Times New Roman" w:cs="Times New Roman"/>
        </w:rPr>
        <w:t>4600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戏剧影视文学专业每人</w:t>
      </w:r>
      <w:r>
        <w:rPr>
          <w:rFonts w:ascii="Times New Roman" w:eastAsia="Times New Roman" w:hAnsi="Times New Roman" w:cs="Times New Roman"/>
        </w:rPr>
        <w:t>8000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其他专业每人</w:t>
      </w:r>
      <w:r>
        <w:rPr>
          <w:rFonts w:ascii="Times New Roman" w:eastAsia="Times New Roman" w:hAnsi="Times New Roman" w:cs="Times New Roman"/>
        </w:rPr>
        <w:t>4200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普通类专业每人</w:t>
      </w:r>
      <w:r>
        <w:rPr>
          <w:rFonts w:ascii="Times New Roman" w:eastAsia="Times New Roman" w:hAnsi="Times New Roman" w:cs="Times New Roman"/>
        </w:rPr>
        <w:t>6000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．住宿费标准：根据住宿条件，按照国家标准收取住宿费用。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学校建有完备的</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学生资助体系，设有国家奖学金、全总奖学金等奖项，为家庭经济困难学生提供助学金、助学贷款、学费减免、困难补助以及勤工助学岗位。学生入学后，通过申请、评议、审核、公示等程序后予以落实各项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录取后就读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．根据有关规定，新生入学后，学校统一进行新生入学资格复查。对于复查不合格的学生，学校依据有关规定进行处理。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2020</w:t>
      </w:r>
      <w:r>
        <w:rPr>
          <w:rFonts w:ascii="SimSun" w:eastAsia="SimSun" w:hAnsi="SimSun" w:cs="SimSun"/>
        </w:rPr>
        <w:t>级本科新生第一、二学年在涿州校区就读，第三、四学年在北京校区（本部）就读。</w:t>
      </w:r>
      <w:r>
        <w:rPr>
          <w:rFonts w:ascii="Times New Roman" w:eastAsia="Times New Roman" w:hAnsi="Times New Roman" w:cs="Times New Roman"/>
        </w:rPr>
        <w:t>2020</w:t>
      </w:r>
      <w:r>
        <w:rPr>
          <w:rFonts w:ascii="SimSun" w:eastAsia="SimSun" w:hAnsi="SimSun" w:cs="SimSun"/>
        </w:rPr>
        <w:t>级两年制高职专业新生第一学年在涿州校区就读，第二学年在北京校区（本部）就读。</w:t>
      </w:r>
      <w:r>
        <w:rPr>
          <w:rFonts w:ascii="Times New Roman" w:eastAsia="Times New Roman" w:hAnsi="Times New Roman" w:cs="Times New Roman"/>
        </w:rPr>
        <w:t>2020</w:t>
      </w:r>
      <w:r>
        <w:rPr>
          <w:rFonts w:ascii="SimSun" w:eastAsia="SimSun" w:hAnsi="SimSun" w:cs="SimSun"/>
        </w:rPr>
        <w:t>级三年制高职专业新生第一、二学年在涿州校区就读，第三学年在北京校区（本部）就读。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在规定年限内达到所在专业毕业要求者，颁发中国劳动关系学院普通高等教育本科、高职毕业证书；获得毕业证书且符合国家和学校学位授予有关规定本科毕业生，颁发中国劳动关系学院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普通本科、高职招生办公室联系方式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010-68416757</w:t>
      </w:r>
      <w:r>
        <w:rPr>
          <w:rFonts w:ascii="SimSun" w:eastAsia="SimSun" w:hAnsi="SimSun" w:cs="SimSun"/>
        </w:rPr>
        <w:t>、</w:t>
      </w:r>
      <w:r>
        <w:rPr>
          <w:rFonts w:ascii="Times New Roman" w:eastAsia="Times New Roman" w:hAnsi="Times New Roman" w:cs="Times New Roman"/>
        </w:rPr>
        <w:t xml:space="preserve">010-68411395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100048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地址：北京市海淀区增光路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http://news.culr.edu.cn/zhaosheng/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culrzhaosheng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本章程若与国家法律、法规和上级有关政策不一致，以国家法律、法规和上级有关政策为准。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本章程解释权属于中国劳动关系学院普通本科、高职招生办公室。本章程自公布之日起施行。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北京青年政治学院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年招生章程（统招）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北京财贸职业学院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6.html" TargetMode="External" /><Relationship Id="rId5" Type="http://schemas.openxmlformats.org/officeDocument/2006/relationships/hyperlink" Target="http://www.gk114.com/a/gxzs/zszc/beijing/2021/0309/1890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