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中国政法大学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为进一步规范学校全日制普通本科招生工作（以下简称</w:t>
      </w:r>
      <w:r>
        <w:rPr>
          <w:rFonts w:ascii="Times New Roman" w:eastAsia="Times New Roman" w:hAnsi="Times New Roman" w:cs="Times New Roman"/>
        </w:rPr>
        <w:t>“</w:t>
      </w:r>
      <w:r>
        <w:rPr>
          <w:rFonts w:ascii="SimSun" w:eastAsia="SimSun" w:hAnsi="SimSun" w:cs="SimSun"/>
        </w:rPr>
        <w:t>招生工作</w:t>
      </w:r>
      <w:r>
        <w:rPr>
          <w:rFonts w:ascii="Times New Roman" w:eastAsia="Times New Roman" w:hAnsi="Times New Roman" w:cs="Times New Roman"/>
        </w:rPr>
        <w:t>”</w:t>
      </w:r>
      <w:r>
        <w:rPr>
          <w:rFonts w:ascii="SimSun" w:eastAsia="SimSun" w:hAnsi="SimSun" w:cs="SimSun"/>
        </w:rPr>
        <w:t>），提高生源质量，维护学校和考生的合法权益，保证招生工作的顺利进行，依据《中华人民共和国教育法》《中华人民共和国高等教育法》和教育部有关规定，贯彻教育部</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的工作要求，结合学校具体情况，制定本章程。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本章程适用于中国政法大学普通本科招生工作。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中国政法大学招生工作贯彻</w:t>
      </w:r>
      <w:r>
        <w:rPr>
          <w:rFonts w:ascii="Times New Roman" w:eastAsia="Times New Roman" w:hAnsi="Times New Roman" w:cs="Times New Roman"/>
        </w:rPr>
        <w:t>“</w:t>
      </w:r>
      <w:r>
        <w:rPr>
          <w:rFonts w:ascii="SimSun" w:eastAsia="SimSun" w:hAnsi="SimSun" w:cs="SimSun"/>
        </w:rPr>
        <w:t>公平、公正、公开、严格程序、择优录取、接受监督</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学校全称：中国政法大学。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招生代码：</w:t>
      </w:r>
      <w:r>
        <w:rPr>
          <w:rFonts w:ascii="Times New Roman" w:eastAsia="Times New Roman" w:hAnsi="Times New Roman" w:cs="Times New Roman"/>
        </w:rPr>
        <w:t>10053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办学性质：教育部直属全国重点大学，</w:t>
      </w:r>
      <w:r>
        <w:rPr>
          <w:rFonts w:ascii="Times New Roman" w:eastAsia="Times New Roman" w:hAnsi="Times New Roman" w:cs="Times New Roman"/>
        </w:rPr>
        <w:t>“2011</w:t>
      </w:r>
      <w:r>
        <w:rPr>
          <w:rFonts w:ascii="SimSun" w:eastAsia="SimSun" w:hAnsi="SimSun" w:cs="SimSun"/>
        </w:rPr>
        <w:t>计划</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“111</w:t>
      </w:r>
      <w:r>
        <w:rPr>
          <w:rFonts w:ascii="SimSun" w:eastAsia="SimSun" w:hAnsi="SimSun" w:cs="SimSun"/>
        </w:rPr>
        <w:t>计划</w:t>
      </w:r>
      <w:r>
        <w:rPr>
          <w:rFonts w:ascii="Times New Roman" w:eastAsia="Times New Roman" w:hAnsi="Times New Roman" w:cs="Times New Roman"/>
        </w:rPr>
        <w:t>”</w:t>
      </w:r>
      <w:r>
        <w:rPr>
          <w:rFonts w:ascii="SimSun" w:eastAsia="SimSun" w:hAnsi="SimSun" w:cs="SimSun"/>
        </w:rPr>
        <w:t>（高校学科创新引智计划）重点建设高校，国家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办学层次：本科、研究生。办学类型：普通高等学校。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学习形式为全日制。基准学制为四年。学生入学后，实行学分制和弹性学习年限，学生可以在三至六年内完成学业。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颁发证书：在规定年限内达到所在专业毕业要求者，颁发中国政法大学本科毕业证书；符合学校学位授予有关规定者，颁发普通高等教育学士学位证书。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办学地点：北京市昌平区府学路</w:t>
      </w:r>
      <w:r>
        <w:rPr>
          <w:rFonts w:ascii="Times New Roman" w:eastAsia="Times New Roman" w:hAnsi="Times New Roman" w:cs="Times New Roman"/>
        </w:rPr>
        <w:t>27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学校招生委员会是招生工作的咨询和监督机构，学校本科招生工作领导小组是本科招生工作的决策机构。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本科招生办公室是组织和实施招生工作的常设机构，具体负责学校普通本科招生的日常工作。其主要职责是：组织招生改革前期调研；做好人才需求和培养的预测工作；根据学校发展规模，拟定招生计划草案；开展招生宣传活动；组织和落实新生录取、复查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。学校纪委、监察处对招生工作实施监督。学校成立由纪委书记和有关部门负责人组成的招生工作监察领导小组，负责监督招生工作各项政策和规定的落实，维护广大考生和学校的合法权益。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本科招生办公室根据学校发展规模、办学条件、人才需求、学科发展等因素制定本科年度招生计划，经学校本科招生工作领导小组审定后，报教育部批准。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本科招生办公室依据教育部下达的年度招生计划和国家有关招生政策，坚持科学发展，协调发展，按照</w:t>
      </w:r>
      <w:r>
        <w:rPr>
          <w:rFonts w:ascii="Times New Roman" w:eastAsia="Times New Roman" w:hAnsi="Times New Roman" w:cs="Times New Roman"/>
        </w:rPr>
        <w:t>“</w:t>
      </w:r>
      <w:r>
        <w:rPr>
          <w:rFonts w:ascii="SimSun" w:eastAsia="SimSun" w:hAnsi="SimSun" w:cs="SimSun"/>
        </w:rPr>
        <w:t>以发展促公平</w:t>
      </w:r>
      <w:r>
        <w:rPr>
          <w:rFonts w:ascii="Times New Roman" w:eastAsia="Times New Roman" w:hAnsi="Times New Roman" w:cs="Times New Roman"/>
        </w:rPr>
        <w:t>”</w:t>
      </w:r>
      <w:r>
        <w:rPr>
          <w:rFonts w:ascii="SimSun" w:eastAsia="SimSun" w:hAnsi="SimSun" w:cs="SimSun"/>
        </w:rPr>
        <w:t>的原则，结合学校办学条件</w:t>
      </w:r>
      <w:r>
        <w:rPr>
          <w:rFonts w:ascii="Times New Roman" w:eastAsia="Times New Roman" w:hAnsi="Times New Roman" w:cs="Times New Roman"/>
        </w:rPr>
        <w:t>,</w:t>
      </w:r>
      <w:r>
        <w:rPr>
          <w:rFonts w:ascii="SimSun" w:eastAsia="SimSun" w:hAnsi="SimSun" w:cs="SimSun"/>
        </w:rPr>
        <w:t>考虑各省报名考生人数占全国报名考生总数的比例、生源质量和毕业生就业情况等因素，做好招生专业结构、区域结构的调整，科学、合理地编制分省分专业招生计划。计划经学校本科招生工作领导小组审定后，报教育部批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学校将计划总数的</w:t>
      </w:r>
      <w:r>
        <w:rPr>
          <w:rFonts w:ascii="Times New Roman" w:eastAsia="Times New Roman" w:hAnsi="Times New Roman" w:cs="Times New Roman"/>
        </w:rPr>
        <w:t>1%</w:t>
      </w:r>
      <w:r>
        <w:rPr>
          <w:rFonts w:ascii="SimSun" w:eastAsia="SimSun" w:hAnsi="SimSun" w:cs="SimSun"/>
        </w:rPr>
        <w:t>作为预留计划，主要用于生源质量调控及解决同分考生的录取问题。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学校调阅考生档案的比例原则上为</w:t>
      </w:r>
      <w:r>
        <w:rPr>
          <w:rFonts w:ascii="Times New Roman" w:eastAsia="Times New Roman" w:hAnsi="Times New Roman" w:cs="Times New Roman"/>
        </w:rPr>
        <w:t>105%</w:t>
      </w:r>
      <w:r>
        <w:rPr>
          <w:rFonts w:ascii="SimSun" w:eastAsia="SimSun" w:hAnsi="SimSun" w:cs="SimSun"/>
        </w:rPr>
        <w:t>以内，考生所报专业志愿不能满足且服从调剂时，学校将根据各专业的录取情况进行专业调剂。如果考生不服从调剂，则作退档处理。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对于未完成计划的实行平行志愿的省份（直辖市、自治区），按照省级招生考试机构的统一安排在本科第一批次线上征集志愿。如征集志愿仍不能完成计划，则将剩余计划调整至生源充足省份。实行顺序志愿的省份（直辖市、自治区），若第一志愿考生生源不足，按照省级招生考试机构的统一安排在本科第一批次线上从高分到低分录取非第一志愿考生，直至完成招生计划；若符合条件的非第一志愿考生生源仍不足，将征集志愿。如征集志愿仍不能完成计划，则将剩余计划调整至生源充足省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所有专业均无往届生与应届生区分与限制。在进档考生思想政治品德考核和身体健康状况检查合格的情况下，学校按照分数优先、不设专业级差的原则，根据考生的投档成绩和专业志愿的顺序，综合考虑，择优录取。在投档成绩相同的情况下，依次参考考生高考原始分、专业志愿顺序和相关科目的高考成绩（上海考生按照上海市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相关科目的高考成绩比较顺序如下：经济学、金融工程（成思危现代金融菁英班）和信息管理与信息系统（法治信息管理方向）依次比较数学、外语、语文；英语、德语、翻译专业依次比较外语、语文、数学；其余专业依次比较语文、数学、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根据江苏省相关录取办法，学校对江苏省考生选测科目最低成绩要求为</w:t>
      </w:r>
      <w:r>
        <w:rPr>
          <w:rFonts w:ascii="Times New Roman" w:eastAsia="Times New Roman" w:hAnsi="Times New Roman" w:cs="Times New Roman"/>
        </w:rPr>
        <w:t>B+B+</w:t>
      </w:r>
      <w:r>
        <w:rPr>
          <w:rFonts w:ascii="SimSun" w:eastAsia="SimSun" w:hAnsi="SimSun" w:cs="SimSun"/>
        </w:rPr>
        <w:t>，对该省高校专项计划招生及高水平艺术团招生入围考生选测科目最低成绩要求为</w:t>
      </w:r>
      <w:r>
        <w:rPr>
          <w:rFonts w:ascii="Times New Roman" w:eastAsia="Times New Roman" w:hAnsi="Times New Roman" w:cs="Times New Roman"/>
        </w:rPr>
        <w:t>BB</w:t>
      </w:r>
      <w:r>
        <w:rPr>
          <w:rFonts w:ascii="SimSun" w:eastAsia="SimSun" w:hAnsi="SimSun" w:cs="SimSun"/>
        </w:rPr>
        <w:t>。根据内蒙古自治区相关录取办法，学校在内蒙古实行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浙江省和山东省考生由考生所在省招办依据其相关规定直接投档到专业。上海市、北京市、天津市和海南省考生由所在省（直辖市）省招办依据其相关规定按专业组投档，学校按照本章程规定的录取原则进行专业安排。综合改革省份考生的选考科目须符合学校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校招生体检标准按照教育部、卫生部和中国残疾人联合会联合制定的《普通高等学校体检工作指导意见》及有关补充规定执行。新生入校后，学校将按照教育部有关规定进行复查和入学体检，对不符合录取条件的学生，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侦查学专业在提前批录取，学校不单独组织或参加公安类院校的政审、体检和面试，考生须符合下列条件方可录取：（</w:t>
      </w:r>
      <w:r>
        <w:rPr>
          <w:rFonts w:ascii="Times New Roman" w:eastAsia="Times New Roman" w:hAnsi="Times New Roman" w:cs="Times New Roman"/>
        </w:rPr>
        <w:t>1</w:t>
      </w:r>
      <w:r>
        <w:rPr>
          <w:rFonts w:ascii="SimSun" w:eastAsia="SimSun" w:hAnsi="SimSun" w:cs="SimSun"/>
        </w:rPr>
        <w:t>）五官端正、面部无明显特征和缺陷，身体无各种残疾；（</w:t>
      </w:r>
      <w:r>
        <w:rPr>
          <w:rFonts w:ascii="Times New Roman" w:eastAsia="Times New Roman" w:hAnsi="Times New Roman" w:cs="Times New Roman"/>
        </w:rPr>
        <w:t>2</w:t>
      </w:r>
      <w:r>
        <w:rPr>
          <w:rFonts w:ascii="SimSun" w:eastAsia="SimSun" w:hAnsi="SimSun" w:cs="SimSun"/>
        </w:rPr>
        <w:t>）无色盲、色弱，单眼矫正视力不低于</w:t>
      </w:r>
      <w:r>
        <w:rPr>
          <w:rFonts w:ascii="Times New Roman" w:eastAsia="Times New Roman" w:hAnsi="Times New Roman" w:cs="Times New Roman"/>
        </w:rPr>
        <w:t>4.7</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）两耳听力正常；（</w:t>
      </w:r>
      <w:r>
        <w:rPr>
          <w:rFonts w:ascii="Times New Roman" w:eastAsia="Times New Roman" w:hAnsi="Times New Roman" w:cs="Times New Roman"/>
        </w:rPr>
        <w:t>4</w:t>
      </w:r>
      <w:r>
        <w:rPr>
          <w:rFonts w:ascii="SimSun" w:eastAsia="SimSun" w:hAnsi="SimSun" w:cs="SimSun"/>
        </w:rPr>
        <w:t>）无口吃；（</w:t>
      </w:r>
      <w:r>
        <w:rPr>
          <w:rFonts w:ascii="Times New Roman" w:eastAsia="Times New Roman" w:hAnsi="Times New Roman" w:cs="Times New Roman"/>
        </w:rPr>
        <w:t>5</w:t>
      </w:r>
      <w:r>
        <w:rPr>
          <w:rFonts w:ascii="SimSun" w:eastAsia="SimSun" w:hAnsi="SimSun" w:cs="SimSun"/>
        </w:rPr>
        <w:t>）无传染病。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学校各招生专业均不限制男女生比例。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除高水平艺术团、高水平运动队及高校专项计划招生等特殊类型招生外，学校按各省（自治区、直辖市）招生考试机构提供的投档成绩（含省级教育行政部门或招生考试机构确认的全国性高考加分项目）提档、分专业录取。对有多项加分项目的考生，只取最高分的一项计算。所有高考加分项目及分值不适用于不安排分省分专业招生计划的招生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根据各学院的师资规模、学生规模，将法学专业的学生随机分配至民商经济法学院、国际法学院和刑事司法学院学习，适用同一培养方案，不分方向。法学专业学生报考研究生时，不受所在学院的限制，可根据自己的兴趣爱好选择不同的研究方向进一步深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法学（法学人才培养模式改革实验班）的学生在法学院学习，分为两个阶段贯通培养。第一阶段为四年基础学习阶段，按照培养方案完成教学进度，必修课成绩排名前</w:t>
      </w:r>
      <w:r>
        <w:rPr>
          <w:rFonts w:ascii="Times New Roman" w:eastAsia="Times New Roman" w:hAnsi="Times New Roman" w:cs="Times New Roman"/>
        </w:rPr>
        <w:t>90%</w:t>
      </w:r>
      <w:r>
        <w:rPr>
          <w:rFonts w:ascii="SimSun" w:eastAsia="SimSun" w:hAnsi="SimSun" w:cs="SimSun"/>
        </w:rPr>
        <w:t>且考核合格的学生，经推荐免试攻读研究生，方可进入第二阶段即两年应用学习阶段的学习，应用学习阶段合格后准予毕业并授予法律硕士学位。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英语、翻译专业只招收外语语种为英语的考生，德语专业只招收外语语种为德语、英语的考生，其他专业外语语种不限。省级招生办统一组织外语口试的，报考英语、德语和翻译专业的考生应参加。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高水平艺术团、高水平运动队、国家专项计划、高校专项计划、少数民族预科班、南疆单列计划、新疆协作计划、内地西藏高中班和内地新疆高中班的录取按国家有关文件规定执行。高水平艺术团、高水平运动队及高校专项计划等特殊类型招生，学校按照教育部特殊类型招生工作要求制定具体的招生简章。考生的普通高中学生综合素质评价信息作为高校专项计划招生等特殊类型招生的考生报名材料参考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录取结束后，学校将按照教育部的要求在学校本科招生信息网（</w:t>
      </w:r>
      <w:r>
        <w:rPr>
          <w:rFonts w:ascii="Times New Roman" w:eastAsia="Times New Roman" w:hAnsi="Times New Roman" w:cs="Times New Roman"/>
        </w:rPr>
        <w:t>http://zs.cupl.edu.cn/</w:t>
      </w:r>
      <w:r>
        <w:rPr>
          <w:rFonts w:ascii="SimSun" w:eastAsia="SimSun" w:hAnsi="SimSun" w:cs="SimSun"/>
        </w:rPr>
        <w:t>）公布录取结果。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根据《北京市物价局、北京市财政局、北京市教育委员会关于调整普通高校学费标准的通知》</w:t>
      </w:r>
      <w:r>
        <w:rPr>
          <w:rFonts w:ascii="Times New Roman" w:eastAsia="Times New Roman" w:hAnsi="Times New Roman" w:cs="Times New Roman"/>
        </w:rPr>
        <w:t>(</w:t>
      </w:r>
      <w:r>
        <w:rPr>
          <w:rFonts w:ascii="SimSun" w:eastAsia="SimSun" w:hAnsi="SimSun" w:cs="SimSun"/>
        </w:rPr>
        <w:t>京价（收）字</w:t>
      </w:r>
      <w:r>
        <w:rPr>
          <w:rFonts w:ascii="Times New Roman" w:eastAsia="Times New Roman" w:hAnsi="Times New Roman" w:cs="Times New Roman"/>
        </w:rPr>
        <w:t>[2000]</w:t>
      </w:r>
      <w:r>
        <w:rPr>
          <w:rFonts w:ascii="SimSun" w:eastAsia="SimSun" w:hAnsi="SimSun" w:cs="SimSun"/>
        </w:rPr>
        <w:t>第</w:t>
      </w:r>
      <w:r>
        <w:rPr>
          <w:rFonts w:ascii="Times New Roman" w:eastAsia="Times New Roman" w:hAnsi="Times New Roman" w:cs="Times New Roman"/>
        </w:rPr>
        <w:t>217</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的规定，我校德语、英语和翻译专业每人每学年学费为</w:t>
      </w:r>
      <w:r>
        <w:rPr>
          <w:rFonts w:ascii="Times New Roman" w:eastAsia="Times New Roman" w:hAnsi="Times New Roman" w:cs="Times New Roman"/>
        </w:rPr>
        <w:t>6000</w:t>
      </w:r>
      <w:r>
        <w:rPr>
          <w:rFonts w:ascii="SimSun" w:eastAsia="SimSun" w:hAnsi="SimSun" w:cs="SimSun"/>
        </w:rPr>
        <w:t>元，其他专业每人每学年学费为</w:t>
      </w:r>
      <w:r>
        <w:rPr>
          <w:rFonts w:ascii="Times New Roman" w:eastAsia="Times New Roman" w:hAnsi="Times New Roman" w:cs="Times New Roman"/>
        </w:rPr>
        <w:t>5000</w:t>
      </w:r>
      <w:r>
        <w:rPr>
          <w:rFonts w:ascii="SimSun" w:eastAsia="SimSun" w:hAnsi="SimSun" w:cs="SimSun"/>
        </w:rPr>
        <w:t>元。选择双专业双学位培养模式的学生，从第五学年起，学校参照基本培养成本收取学费。选择双学位加硕士连读培养模式的德语、英语和翻译专业学生从进入研究生学习阶段起，学校参照当年研究生的收费政策及实际培养成本确定收费标准。法学（法学人才培养模式改革实验班）的学生在应用学习阶段，学费按法律硕士研究生收费标准收取。学生在校学习期间赴国（境）外交流学习的费用视具体项目确定，由学生自行承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根据《北京市物价局、关于北京市学生住宿收费标准及管理的通知（试行）》（京价（收）字</w:t>
      </w:r>
      <w:r>
        <w:rPr>
          <w:rFonts w:ascii="Times New Roman" w:eastAsia="Times New Roman" w:hAnsi="Times New Roman" w:cs="Times New Roman"/>
        </w:rPr>
        <w:t>[1999]</w:t>
      </w:r>
      <w:r>
        <w:rPr>
          <w:rFonts w:ascii="SimSun" w:eastAsia="SimSun" w:hAnsi="SimSun" w:cs="SimSun"/>
        </w:rPr>
        <w:t>第</w:t>
      </w:r>
      <w:r>
        <w:rPr>
          <w:rFonts w:ascii="Times New Roman" w:eastAsia="Times New Roman" w:hAnsi="Times New Roman" w:cs="Times New Roman"/>
        </w:rPr>
        <w:t>014</w:t>
      </w:r>
      <w:r>
        <w:rPr>
          <w:rFonts w:ascii="SimSun" w:eastAsia="SimSun" w:hAnsi="SimSun" w:cs="SimSun"/>
        </w:rPr>
        <w:t>号）和《关于</w:t>
      </w:r>
      <w:r>
        <w:rPr>
          <w:rFonts w:ascii="Times New Roman" w:eastAsia="Times New Roman" w:hAnsi="Times New Roman" w:cs="Times New Roman"/>
        </w:rPr>
        <w:t>2003</w:t>
      </w:r>
      <w:r>
        <w:rPr>
          <w:rFonts w:ascii="SimSun" w:eastAsia="SimSun" w:hAnsi="SimSun" w:cs="SimSun"/>
        </w:rPr>
        <w:t>年北京市高校校内新建学生公寓收费标准的函》（京价（收）字</w:t>
      </w:r>
      <w:r>
        <w:rPr>
          <w:rFonts w:ascii="Times New Roman" w:eastAsia="Times New Roman" w:hAnsi="Times New Roman" w:cs="Times New Roman"/>
        </w:rPr>
        <w:t>[2003]348</w:t>
      </w:r>
      <w:r>
        <w:rPr>
          <w:rFonts w:ascii="SimSun" w:eastAsia="SimSun" w:hAnsi="SimSun" w:cs="SimSun"/>
        </w:rPr>
        <w:t>号）的规定，本科住宿费为每人每学年</w:t>
      </w:r>
      <w:r>
        <w:rPr>
          <w:rFonts w:ascii="Times New Roman" w:eastAsia="Times New Roman" w:hAnsi="Times New Roman" w:cs="Times New Roman"/>
        </w:rPr>
        <w:t>650/750/900</w:t>
      </w:r>
      <w:r>
        <w:rPr>
          <w:rFonts w:ascii="SimSun" w:eastAsia="SimSun" w:hAnsi="SimSun" w:cs="SimSun"/>
        </w:rPr>
        <w:t>元。学生住宿须遵守《中国政法大学学生公寓管理办法》的规定。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学校设校长奖学金、本科生学业奖学金、科研创新奖学金、竞赛优胜奖学金和志愿服务奖学金等多种奖学金，奖励品学兼优的学生。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建立包括国家奖学金、国家励志奖学金、国家助学金、社会奖助学金、国家助学贷款、退役士兵教育资助、基层就业学费补偿、助学贷款代偿、服义务兵役国家资助、绿色通道、勤工助学、困难补助等多种政策在内的学生资助体系，帮助家庭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本科生可于第一学年的第二学期申请转专业，具体条件和程序参见《中国政法大学本科生转专业实施办法》。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第二十九条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学校本科招生信息网网址：</w:t>
      </w:r>
      <w:r>
        <w:rPr>
          <w:rFonts w:ascii="Times New Roman" w:eastAsia="Times New Roman" w:hAnsi="Times New Roman" w:cs="Times New Roman"/>
        </w:rPr>
        <w:t xml:space="preserve">http://zs.cupl.edu.cn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咨询电话：</w:t>
      </w:r>
      <w:r>
        <w:rPr>
          <w:rFonts w:ascii="Times New Roman" w:eastAsia="Times New Roman" w:hAnsi="Times New Roman" w:cs="Times New Roman"/>
        </w:rPr>
        <w:t xml:space="preserve">010-58909122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自动传真：</w:t>
      </w:r>
      <w:r>
        <w:rPr>
          <w:rFonts w:ascii="Times New Roman" w:eastAsia="Times New Roman" w:hAnsi="Times New Roman" w:cs="Times New Roman"/>
        </w:rPr>
        <w:t xml:space="preserve">010-58909922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通讯地址：北京市昌平区府学路</w:t>
      </w:r>
      <w:r>
        <w:rPr>
          <w:rFonts w:ascii="Times New Roman" w:eastAsia="Times New Roman" w:hAnsi="Times New Roman" w:cs="Times New Roman"/>
        </w:rPr>
        <w:t>27</w:t>
      </w:r>
      <w:r>
        <w:rPr>
          <w:rFonts w:ascii="SimSun" w:eastAsia="SimSun" w:hAnsi="SimSun" w:cs="SimSun"/>
        </w:rPr>
        <w:t>号中国政法大学本科招生办公室（邮编：</w:t>
      </w:r>
      <w:r>
        <w:rPr>
          <w:rFonts w:ascii="Times New Roman" w:eastAsia="Times New Roman" w:hAnsi="Times New Roman" w:cs="Times New Roman"/>
        </w:rPr>
        <w:t>102249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纪委监督电话：</w:t>
      </w:r>
      <w:r>
        <w:rPr>
          <w:rFonts w:ascii="Times New Roman" w:eastAsia="Times New Roman" w:hAnsi="Times New Roman" w:cs="Times New Roman"/>
        </w:rPr>
        <w:t xml:space="preserve">010-58909069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学校以往有关招生工作的政策、规定如与本章程相冲突，以本章程为准；本章程若有与国家或上级有关政策不一致之处，以国家和上级有关政策为准。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本章程公布后，如遇教育部和省（自治区、直辖市）招生办高考招生政策调整，学校将依据相关政策适时调整相应内容，并另行公布。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本章程自公布之日起生效。本章程由中国政法大学本科招生办公室负责解释。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中国戏曲学院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中央民族大学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年普通本、预科招生章程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1225/23940.html" TargetMode="External" /><Relationship Id="rId12" Type="http://schemas.openxmlformats.org/officeDocument/2006/relationships/hyperlink" Target="http://www.gk114.com/a/gxzs/zszc/beijing/2022/1225/23938.html" TargetMode="External" /><Relationship Id="rId13" Type="http://schemas.openxmlformats.org/officeDocument/2006/relationships/hyperlink" Target="http://www.gk114.com/a/gxzs/zszc/beijing/2022/0604/22654.html" TargetMode="External" /><Relationship Id="rId14" Type="http://schemas.openxmlformats.org/officeDocument/2006/relationships/hyperlink" Target="http://www.gk114.com/a/gxzs/zszc/beijing/2022/0525/22535.html" TargetMode="External" /><Relationship Id="rId15" Type="http://schemas.openxmlformats.org/officeDocument/2006/relationships/hyperlink" Target="http://www.gk114.com/a/gxzs/zszc/beijing/2022/0525/22534.html" TargetMode="External" /><Relationship Id="rId16" Type="http://schemas.openxmlformats.org/officeDocument/2006/relationships/hyperlink" Target="http://www.gk114.com/a/gxzs/zszc/beijing/2022/0525/2253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86.html" TargetMode="External" /><Relationship Id="rId5" Type="http://schemas.openxmlformats.org/officeDocument/2006/relationships/hyperlink" Target="http://www.gk114.com/a/gxzs/zszc/beijing/2021/0309/18888.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