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中国矿业大学银川学院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中国矿业大学银川学院是经教育部批准的具有普通高等教育招生资格的全日制普通本科院校（独立学院）。为规范招生行为，维护学校和考生正当权益，根据《中华人民共和国高等教育法》、《教育部关于做好</w:t>
      </w:r>
      <w:r>
        <w:rPr>
          <w:rFonts w:ascii="Times New Roman" w:eastAsia="Times New Roman" w:hAnsi="Times New Roman" w:cs="Times New Roman"/>
        </w:rPr>
        <w:t>2018</w:t>
      </w:r>
      <w:r>
        <w:rPr>
          <w:rFonts w:ascii="SimSun" w:eastAsia="SimSun" w:hAnsi="SimSun" w:cs="SimSun"/>
        </w:rPr>
        <w:t>年普通高等学校招生工作的通知》精神，结合学校实际，制定本章程。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学校名称：中国矿业大学银川学院（学校国标代码：</w:t>
      </w:r>
      <w:r>
        <w:rPr>
          <w:rFonts w:ascii="Times New Roman" w:eastAsia="Times New Roman" w:hAnsi="Times New Roman" w:cs="Times New Roman"/>
        </w:rPr>
        <w:t>14200)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学校地址：宁夏银川市西夏区金波北街培华路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本章程适用于中国矿业大学银川学院国家计划内普通高校本科招生。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中国矿业大学银川学院招生工作遵循</w:t>
      </w:r>
      <w:r>
        <w:rPr>
          <w:rFonts w:ascii="Times New Roman" w:eastAsia="Times New Roman" w:hAnsi="Times New Roman" w:cs="Times New Roman"/>
        </w:rPr>
        <w:t>“</w:t>
      </w:r>
      <w:r>
        <w:rPr>
          <w:rFonts w:ascii="SimSun" w:eastAsia="SimSun" w:hAnsi="SimSun" w:cs="SimSun"/>
        </w:rPr>
        <w:t>公平、公正、公开，德、智、体全面考核，择优录取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中国矿业大学银川学院招生就业处是学校组织和实施招生工作的常设机构，负责学校招生日常工作。学校不委托任何机构和个人承担招生工作。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矿业大学银川学院是经教育部批准的具有学士学位授予权的全日制普通本科高校。学校现设矿业与化学工程系、机电动力与信息工程系、土木工程系、管理与经济系、人文社科系、艺术传媒系六个系，基础课部、马克思主义教研部两个部。开设测绘工程、土木工程、工程管理、机械工程、电气工程及其自动化、能源与动力工程、计算机科学与技术、会计学、财务管理、工商管理、汉语言文学、英语、环境设计、艺术设计学、广播电视编导、播音与主持艺术等二十五个本科专业（方向），形成了工、管、文、艺等多学科协调发展的结构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学校始终践行</w:t>
      </w:r>
      <w:r>
        <w:rPr>
          <w:rFonts w:ascii="Times New Roman" w:eastAsia="Times New Roman" w:hAnsi="Times New Roman" w:cs="Times New Roman"/>
        </w:rPr>
        <w:t>“</w:t>
      </w:r>
      <w:r>
        <w:rPr>
          <w:rFonts w:ascii="SimSun" w:eastAsia="SimSun" w:hAnsi="SimSun" w:cs="SimSun"/>
        </w:rPr>
        <w:t>高端化、国际化、个性化</w:t>
      </w:r>
      <w:r>
        <w:rPr>
          <w:rFonts w:ascii="Times New Roman" w:eastAsia="Times New Roman" w:hAnsi="Times New Roman" w:cs="Times New Roman"/>
        </w:rPr>
        <w:t>”</w:t>
      </w:r>
      <w:r>
        <w:rPr>
          <w:rFonts w:ascii="SimSun" w:eastAsia="SimSun" w:hAnsi="SimSun" w:cs="SimSun"/>
        </w:rPr>
        <w:t>的战略定位和人才培养理念，积极开展国际交流与对外合作项目，依托北方国际大学联盟优质的教育资源和国际教育平台，先后与美国、加拿大、英国、澳大利亚、新西兰、马来西亚等国家的近百所高校建立了中外人才联合培养合作关系。在加拿大、英国、美国等国家分别建立了</w:t>
      </w:r>
      <w:r>
        <w:rPr>
          <w:rFonts w:ascii="Times New Roman" w:eastAsia="Times New Roman" w:hAnsi="Times New Roman" w:cs="Times New Roman"/>
        </w:rPr>
        <w:t>“</w:t>
      </w:r>
      <w:r>
        <w:rPr>
          <w:rFonts w:ascii="SimSun" w:eastAsia="SimSun" w:hAnsi="SimSun" w:cs="SimSun"/>
        </w:rPr>
        <w:t>海外课堂</w:t>
      </w:r>
      <w:r>
        <w:rPr>
          <w:rFonts w:ascii="Times New Roman" w:eastAsia="Times New Roman" w:hAnsi="Times New Roman" w:cs="Times New Roman"/>
        </w:rPr>
        <w:t>”</w:t>
      </w:r>
      <w:r>
        <w:rPr>
          <w:rFonts w:ascii="SimSun" w:eastAsia="SimSun" w:hAnsi="SimSun" w:cs="SimSun"/>
        </w:rPr>
        <w:t>学习实践基地，开展</w:t>
      </w:r>
      <w:r>
        <w:rPr>
          <w:rFonts w:ascii="Times New Roman" w:eastAsia="Times New Roman" w:hAnsi="Times New Roman" w:cs="Times New Roman"/>
        </w:rPr>
        <w:t>“</w:t>
      </w:r>
      <w:r>
        <w:rPr>
          <w:rFonts w:ascii="SimSun" w:eastAsia="SimSun" w:hAnsi="SimSun" w:cs="SimSun"/>
        </w:rPr>
        <w:t>青年领袖海外训练营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英伦大学堂</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精鹰计划</w:t>
      </w:r>
      <w:r>
        <w:rPr>
          <w:rFonts w:ascii="Times New Roman" w:eastAsia="Times New Roman" w:hAnsi="Times New Roman" w:cs="Times New Roman"/>
        </w:rPr>
        <w:t>”</w:t>
      </w:r>
      <w:r>
        <w:rPr>
          <w:rFonts w:ascii="SimSun" w:eastAsia="SimSun" w:hAnsi="SimSun" w:cs="SimSun"/>
        </w:rPr>
        <w:t>等微留学项目，帮助和引领学生开阔国际视野，提升沟通能力与综合素质。同时，为帮助学生实现</w:t>
      </w:r>
      <w:r>
        <w:rPr>
          <w:rFonts w:ascii="Times New Roman" w:eastAsia="Times New Roman" w:hAnsi="Times New Roman" w:cs="Times New Roman"/>
        </w:rPr>
        <w:t>“</w:t>
      </w:r>
      <w:r>
        <w:rPr>
          <w:rFonts w:ascii="SimSun" w:eastAsia="SimSun" w:hAnsi="SimSun" w:cs="SimSun"/>
        </w:rPr>
        <w:t>海外直通、名校读研</w:t>
      </w:r>
      <w:r>
        <w:rPr>
          <w:rFonts w:ascii="Times New Roman" w:eastAsia="Times New Roman" w:hAnsi="Times New Roman" w:cs="Times New Roman"/>
        </w:rPr>
        <w:t>”</w:t>
      </w:r>
      <w:r>
        <w:rPr>
          <w:rFonts w:ascii="SimSun" w:eastAsia="SimSun" w:hAnsi="SimSun" w:cs="SimSun"/>
        </w:rPr>
        <w:t>继续深造的目标，我校与英、美、澳、加等国家的百余所高校开展本硕直通车项目，助力广大学子从银川走向世界，成为具有国际化视野的新时代创新型人才。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学校招生录取工作在各省（自治区、直辖市）招生管理部门统一组织下进行，严格执行教育部规定的</w:t>
      </w:r>
      <w:r>
        <w:rPr>
          <w:rFonts w:ascii="Times New Roman" w:eastAsia="Times New Roman" w:hAnsi="Times New Roman" w:cs="Times New Roman"/>
        </w:rPr>
        <w:t>“</w:t>
      </w:r>
      <w:r>
        <w:rPr>
          <w:rFonts w:ascii="SimSun" w:eastAsia="SimSun" w:hAnsi="SimSun" w:cs="SimSun"/>
        </w:rPr>
        <w:t>学校负责，考试院（招办）监督</w:t>
      </w:r>
      <w:r>
        <w:rPr>
          <w:rFonts w:ascii="Times New Roman" w:eastAsia="Times New Roman" w:hAnsi="Times New Roman" w:cs="Times New Roman"/>
        </w:rPr>
        <w:t>”</w:t>
      </w:r>
      <w:r>
        <w:rPr>
          <w:rFonts w:ascii="SimSun" w:eastAsia="SimSun" w:hAnsi="SimSun" w:cs="SimSun"/>
        </w:rPr>
        <w:t>的原则开展新生录取工作。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学校根据各省（自治区、直辖市）相关规定确定调档比例。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学校按照各省（自治区、直辖市）投档原则接收考生电子档案，从高分到低分进行录取。同时认可各省（自治区、直辖市）招生主管部门制定的有关政策性加分，按照加分后的投档成绩进行录取。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凡第一志愿报考我校的考生，将尽量满足其第一专业志愿。考生分数相同时将根据单科成绩择优录取。理工类成绩比较顺序为理科综合、数学、英语；文史类成绩比较顺序为文科综合、语文、英语。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当考生填报的专业志愿均不能满足但服从专业调剂者，学校将根据其他专业录取情况进行专业调剂；对填报的专业志愿均不能满足且又不服从专业调剂者，予以退档处理。为最大限度满足考生专业报考意愿，建议考生在录取期间保持预留电话通讯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各专业男、女生均可报名，比例不限。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艺术类专业成绩认定及录取原则：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认可由各省（自治区、直辖市）组织的艺术类专业课统考成绩，高考文化课考试成绩与省艺术类专业课统考成绩均达到生源省艺术类相应批次录取控制分数线以上的进档考生，录取时按照高考文化课成绩和专业课统考成绩的综合总分（文化课成绩</w:t>
      </w:r>
      <w:r>
        <w:rPr>
          <w:rFonts w:ascii="Times New Roman" w:eastAsia="Times New Roman" w:hAnsi="Times New Roman" w:cs="Times New Roman"/>
        </w:rPr>
        <w:t>40%+</w:t>
      </w:r>
      <w:r>
        <w:rPr>
          <w:rFonts w:ascii="SimSun" w:eastAsia="SimSun" w:hAnsi="SimSun" w:cs="SimSun"/>
        </w:rPr>
        <w:t>专业课统考成绩</w:t>
      </w:r>
      <w:r>
        <w:rPr>
          <w:rFonts w:ascii="Times New Roman" w:eastAsia="Times New Roman" w:hAnsi="Times New Roman" w:cs="Times New Roman"/>
        </w:rPr>
        <w:t>60%</w:t>
      </w:r>
      <w:r>
        <w:rPr>
          <w:rFonts w:ascii="SimSun" w:eastAsia="SimSun" w:hAnsi="SimSun" w:cs="SimSun"/>
        </w:rPr>
        <w:t>）排序，从高分到低分择优录取；若综合总分相同，再按照专业课成绩从高分到低分择优录取。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生源地未组织统考或联考的专业（宁夏考生报考摄影专业、河北及新疆考生报考传媒类专业除外），专业课成绩认可考生参加其他本科院校组织的校考合格成绩，专业课成绩合格，高考文化课成绩达到当地艺术类专业本科相应批次录取控制分数线，按高考文化课成绩由高到低择优录取；若考生文化课成绩相同，将根据文化课单科成绩择优录取，单科成绩比较顺序为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宁夏考生报考我校摄影专业：报考该专业的宁夏考生需取得其他本科院校艺术类专业校考合格证（考生美术类统考成绩不作为录取依据），高考文化课成绩达到宁夏艺术类专业本科相应批次录取控制分数线，按高考文化课成绩由高到低择优录取；若考生文化课成绩相同，将根据文化课单科成绩择优录取，单科成绩比较顺序为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河北考生报考我校传媒类专业：我校与河北传媒学院合作，认可该校传媒类（广播电视编导、播音与主持艺术）专业课校考成绩，河北考生参加该校传媒类专业校考成绩合格，高考文化课成绩达到当地艺术类专业本科相应批次录取控制分数线，按高考文化课成绩由高到低择优录取；若考生文化课成绩相同，将根据文化课单科成绩择优录取，单科成绩比较顺序为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新疆考生报考我校传媒类专业：取得我校在新疆传媒类（广播电视编导、播音与主持艺术）专业校考合格证的考生，高考文化课成绩达到当地艺术类专业本科相应批次录取控制分数线，按照艺术专业校考成绩择优录取；若考生专业课成绩相同时，则录取文化课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教育部和我校学籍管理相关规定，新生入学一学期后，可按照个人实际情况申请转入其他专业学习。但普通类和艺术类专业学生不得互转；文史经管类专业学生不得转入理工类专业（文理兼招专业除外）；艺术类学生不得跨专业类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各招生专业外语语种不限，新生入学后公共外语教学为英语。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对考生体检要求按照教育部、卫生部、中国残疾人联合会制定的《普通高等学校招生体检工作指导意见》执行。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凡被我校录取的考生由学校寄发录取通知书，凭中国矿业大学银川学院录取通知书在规定报到时间内办理入学注册手续，逾期未报到且未办理任何请假手续的学生将视为自动放弃学籍。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新生入学后，我校将进行入学资格复审，凡不符合招生规定者，一经核实，将取消其入学资格。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奖学金和助学金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学校根据国家及宁夏回族自治区有关规定，设立相关奖学金和助学金，主要有国家奖学金（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年）、国家助学金（平均每人每年</w:t>
      </w:r>
      <w:r>
        <w:rPr>
          <w:rFonts w:ascii="Times New Roman" w:eastAsia="Times New Roman" w:hAnsi="Times New Roman" w:cs="Times New Roman"/>
        </w:rPr>
        <w:t>3000</w:t>
      </w:r>
      <w:r>
        <w:rPr>
          <w:rFonts w:ascii="SimSun" w:eastAsia="SimSun" w:hAnsi="SimSun" w:cs="SimSun"/>
        </w:rPr>
        <w:t>元）、学校奖学金（一等奖</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年）和企业奖学金（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年）等，并为家庭经济困难学生提供相应勤工助学岗位，帮助其完成学业。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毕业及就业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学生入学后，完成教学计划规定的全部课程，经考核合格，颁发中国矿业大学银川学院毕业证书；符合学位授予条件者，授予中国矿业大学银川学院学士学位。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毕业生就业，按照国家有关政策，学校进行就业指导及就业推荐，实行双向选择、自主择业。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学校学费及住宿费标准为：普通类各专业学费每学年</w:t>
      </w:r>
      <w:r>
        <w:rPr>
          <w:rFonts w:ascii="Times New Roman" w:eastAsia="Times New Roman" w:hAnsi="Times New Roman" w:cs="Times New Roman"/>
        </w:rPr>
        <w:t>19800</w:t>
      </w:r>
      <w:r>
        <w:rPr>
          <w:rFonts w:ascii="SimSun" w:eastAsia="SimSun" w:hAnsi="SimSun" w:cs="SimSun"/>
        </w:rPr>
        <w:t>元；艺术类各专业学费每学年</w:t>
      </w:r>
      <w:r>
        <w:rPr>
          <w:rFonts w:ascii="Times New Roman" w:eastAsia="Times New Roman" w:hAnsi="Times New Roman" w:cs="Times New Roman"/>
        </w:rPr>
        <w:t>29800</w:t>
      </w:r>
      <w:r>
        <w:rPr>
          <w:rFonts w:ascii="SimSun" w:eastAsia="SimSun" w:hAnsi="SimSun" w:cs="SimSun"/>
        </w:rPr>
        <w:t>元（含外出访学一学期），住宿费每学年</w:t>
      </w:r>
      <w:r>
        <w:rPr>
          <w:rFonts w:ascii="Times New Roman" w:eastAsia="Times New Roman" w:hAnsi="Times New Roman" w:cs="Times New Roman"/>
        </w:rPr>
        <w:t>2800</w:t>
      </w:r>
      <w:r>
        <w:rPr>
          <w:rFonts w:ascii="SimSun" w:eastAsia="SimSun" w:hAnsi="SimSun" w:cs="SimSun"/>
        </w:rPr>
        <w:t>元（统一提供床上用品）。我校新生报到采用网上自主选择宿舍，通过网上查询、注册、缴费、选宿舍等流程后，将享受</w:t>
      </w:r>
      <w:r>
        <w:rPr>
          <w:rFonts w:ascii="Times New Roman" w:eastAsia="Times New Roman" w:hAnsi="Times New Roman" w:cs="Times New Roman"/>
        </w:rPr>
        <w:t>“</w:t>
      </w:r>
      <w:r>
        <w:rPr>
          <w:rFonts w:ascii="SimSun" w:eastAsia="SimSun" w:hAnsi="SimSun" w:cs="SimSun"/>
        </w:rPr>
        <w:t>一站式报到服务</w:t>
      </w:r>
      <w:r>
        <w:rPr>
          <w:rFonts w:ascii="Times New Roman" w:eastAsia="Times New Roman" w:hAnsi="Times New Roman" w:cs="Times New Roman"/>
        </w:rPr>
        <w:t>”</w:t>
      </w:r>
      <w:r>
        <w:rPr>
          <w:rFonts w:ascii="SimSun" w:eastAsia="SimSun" w:hAnsi="SimSun" w:cs="SimSun"/>
        </w:rPr>
        <w:t>，建议考生在录取期间密切关注我校官网及招生就业处微信平台，以便掌握录取及报到相关信息。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招生专业及计划数等各类招生信息以各省省级招生主管部门和我校招生网站公布信息为准。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本章程若有与国家或各省（自治区、直辖市）招生主管部门有关政策规定不一致，以国家和上级有关政策规定为准。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本章程未尽事宜，由中国矿业大学银川学院负责解释。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0951-5181888</w:t>
      </w:r>
      <w:r>
        <w:rPr>
          <w:rFonts w:ascii="SimSun" w:eastAsia="SimSun" w:hAnsi="SimSun" w:cs="SimSun"/>
        </w:rPr>
        <w:t>、</w:t>
      </w:r>
      <w:r>
        <w:rPr>
          <w:rFonts w:ascii="Times New Roman" w:eastAsia="Times New Roman" w:hAnsi="Times New Roman" w:cs="Times New Roman"/>
        </w:rPr>
        <w:t>5181999</w:t>
      </w:r>
      <w:r>
        <w:rPr>
          <w:rFonts w:ascii="SimSun" w:eastAsia="SimSun" w:hAnsi="SimSun" w:cs="SimSun"/>
        </w:rPr>
        <w:t>、</w:t>
      </w:r>
      <w:r>
        <w:rPr>
          <w:rFonts w:ascii="Times New Roman" w:eastAsia="Times New Roman" w:hAnsi="Times New Roman" w:cs="Times New Roman"/>
        </w:rPr>
        <w:t xml:space="preserve">5181788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5181860</w:t>
      </w:r>
      <w:r>
        <w:rPr>
          <w:rFonts w:ascii="SimSun" w:eastAsia="SimSun" w:hAnsi="SimSun" w:cs="SimSun"/>
        </w:rPr>
        <w:t>、</w:t>
      </w:r>
      <w:r>
        <w:rPr>
          <w:rFonts w:ascii="Times New Roman" w:eastAsia="Times New Roman" w:hAnsi="Times New Roman" w:cs="Times New Roman"/>
        </w:rPr>
        <w:t>5181880</w:t>
      </w:r>
      <w:r>
        <w:rPr>
          <w:rFonts w:ascii="SimSun" w:eastAsia="SimSun" w:hAnsi="SimSun" w:cs="SimSun"/>
        </w:rPr>
        <w:t>、</w:t>
      </w:r>
      <w:r>
        <w:rPr>
          <w:rFonts w:ascii="Times New Roman" w:eastAsia="Times New Roman" w:hAnsi="Times New Roman" w:cs="Times New Roman"/>
        </w:rPr>
        <w:t xml:space="preserve">5181033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0951-5181850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Http://www.cumtyc.com.cn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地址：宁夏银川市西夏区金波北街培华路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中国矿业大学银川学院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年艺术类、体育学类招生章程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年艺术类、体育学类招生章程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0/0618/16855.html" TargetMode="External" /><Relationship Id="rId11" Type="http://schemas.openxmlformats.org/officeDocument/2006/relationships/hyperlink" Target="http://www.gk114.com/a/gxzs/zszc/ningxia/2020/0618/16853.html" TargetMode="External" /><Relationship Id="rId12" Type="http://schemas.openxmlformats.org/officeDocument/2006/relationships/hyperlink" Target="http://www.gk114.com/a/gxzs/zszc/ningxia/2020/0618/16852.html" TargetMode="External" /><Relationship Id="rId13" Type="http://schemas.openxmlformats.org/officeDocument/2006/relationships/hyperlink" Target="http://www.gk114.com/a/gxzs/zszc/ningxia/2019/0514/8949.html" TargetMode="External" /><Relationship Id="rId14" Type="http://schemas.openxmlformats.org/officeDocument/2006/relationships/hyperlink" Target="http://www.gk114.com/a/gxzs/zszc/ningxia/2019/0303/7076.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3.html" TargetMode="External" /><Relationship Id="rId5" Type="http://schemas.openxmlformats.org/officeDocument/2006/relationships/hyperlink" Target="http://www.gk114.com/a/gxzs/zszc/ningxia/2019/0303/7075.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5/22413.html" TargetMode="External" /><Relationship Id="rId9" Type="http://schemas.openxmlformats.org/officeDocument/2006/relationships/hyperlink" Target="http://www.gk114.com/a/gxzs/zszc/ningxia/2022/0515/224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