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中国矿业大学（北京）本科招生章程（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为保证学校本科招生工作顺利进行，切实维护学校和考生的合法权益，根据《中华人民共和国教育法》、《中华人民共和国高等教育法》等相关法律和教育部有关规定，结合学校具体情况，制订本章程。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中国矿业大学（北京）是教育部直属全国重点大学，是国家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和国家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是全国首批具有博士和硕士授予权的高校之一，设有研究生院。培养包括本科生、硕士研究生、博士研究生等在内的各类高级专门人才。在规定的年限内达到所在专业本科毕业要求者，颁发中国矿业大学（北京）大学本科毕业证书；符合学士学位授予条件者，可申请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学校有学院路校区和沙河校区两个校区。学院路校区地址：北京市海淀区学院路丁</w:t>
      </w:r>
      <w:r>
        <w:rPr>
          <w:rFonts w:ascii="Times New Roman" w:eastAsia="Times New Roman" w:hAnsi="Times New Roman" w:cs="Times New Roman"/>
        </w:rPr>
        <w:t>11</w:t>
      </w:r>
      <w:r>
        <w:rPr>
          <w:rFonts w:ascii="SimSun" w:eastAsia="SimSun" w:hAnsi="SimSun" w:cs="SimSun"/>
        </w:rPr>
        <w:t>号，邮政编码：</w:t>
      </w:r>
      <w:r>
        <w:rPr>
          <w:rFonts w:ascii="Times New Roman" w:eastAsia="Times New Roman" w:hAnsi="Times New Roman" w:cs="Times New Roman"/>
        </w:rPr>
        <w:t>100083</w:t>
      </w:r>
      <w:r>
        <w:rPr>
          <w:rFonts w:ascii="SimSun" w:eastAsia="SimSun" w:hAnsi="SimSun" w:cs="SimSun"/>
        </w:rPr>
        <w:t>。沙河校区地址：北京市昌平区沙河高教园区南二街</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102206</w:t>
      </w:r>
      <w:r>
        <w:rPr>
          <w:rFonts w:ascii="SimSun" w:eastAsia="SimSun" w:hAnsi="SimSun" w:cs="SimSun"/>
        </w:rPr>
        <w:t>，距学院路校区</w:t>
      </w:r>
      <w:r>
        <w:rPr>
          <w:rFonts w:ascii="Times New Roman" w:eastAsia="Times New Roman" w:hAnsi="Times New Roman" w:cs="Times New Roman"/>
        </w:rPr>
        <w:t>22</w:t>
      </w:r>
      <w:r>
        <w:rPr>
          <w:rFonts w:ascii="SimSun" w:eastAsia="SimSun" w:hAnsi="SimSun" w:cs="SimSun"/>
        </w:rPr>
        <w:t>公里。学校对两校区实行统一管理，本科生</w:t>
      </w:r>
      <w:r>
        <w:rPr>
          <w:rFonts w:ascii="Times New Roman" w:eastAsia="Times New Roman" w:hAnsi="Times New Roman" w:cs="Times New Roman"/>
        </w:rPr>
        <w:t>1-2</w:t>
      </w:r>
      <w:r>
        <w:rPr>
          <w:rFonts w:ascii="SimSun" w:eastAsia="SimSun" w:hAnsi="SimSun" w:cs="SimSun"/>
        </w:rPr>
        <w:t>年级在沙河校区学习；</w:t>
      </w:r>
      <w:r>
        <w:rPr>
          <w:rFonts w:ascii="Times New Roman" w:eastAsia="Times New Roman" w:hAnsi="Times New Roman" w:cs="Times New Roman"/>
        </w:rPr>
        <w:t>3-4</w:t>
      </w:r>
      <w:r>
        <w:rPr>
          <w:rFonts w:ascii="SimSun" w:eastAsia="SimSun" w:hAnsi="SimSun" w:cs="SimSun"/>
        </w:rPr>
        <w:t>年级在学院路校区学习。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中国矿业大学（北京）招生工作将全面贯彻教育部有关文件精神，本着公平、公正、公开的原则，择优录取。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中国矿业大学（北京）组建招生委员会</w:t>
      </w:r>
      <w:r>
        <w:rPr>
          <w:rFonts w:ascii="Times New Roman" w:eastAsia="Times New Roman" w:hAnsi="Times New Roman" w:cs="Times New Roman"/>
        </w:rPr>
        <w:t>,</w:t>
      </w:r>
      <w:r>
        <w:rPr>
          <w:rFonts w:ascii="SimSun" w:eastAsia="SimSun" w:hAnsi="SimSun" w:cs="SimSun"/>
        </w:rPr>
        <w:t>负责对招生工作进行建议咨询和民主监督；设立招生工作领导小组，负责对招生工作进行集体审议和决策。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中国矿业大学（北京）招生办公室作为学校的常设工作机构，负责学校本科招生的日常工作，其职责是：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组织协调对录取的新生进行复查等工作；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中国矿业大学（北京）招生工作在学校纪检监察部门的监督下进行。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中国矿业大学（北京）招生录取工作受教育部统一领导，按照教育部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中国矿业大学（北京）面向全国招生，根据教育部</w:t>
      </w:r>
      <w:r>
        <w:rPr>
          <w:rFonts w:ascii="Times New Roman" w:eastAsia="Times New Roman" w:hAnsi="Times New Roman" w:cs="Times New Roman"/>
        </w:rPr>
        <w:t>“</w:t>
      </w:r>
      <w:r>
        <w:rPr>
          <w:rFonts w:ascii="SimSun" w:eastAsia="SimSun" w:hAnsi="SimSun" w:cs="SimSun"/>
        </w:rPr>
        <w:t>促进区域入学机会公平</w:t>
      </w:r>
      <w:r>
        <w:rPr>
          <w:rFonts w:ascii="Times New Roman" w:eastAsia="Times New Roman" w:hAnsi="Times New Roman" w:cs="Times New Roman"/>
        </w:rPr>
        <w:t>”</w:t>
      </w:r>
      <w:r>
        <w:rPr>
          <w:rFonts w:ascii="SimSun" w:eastAsia="SimSun" w:hAnsi="SimSun" w:cs="SimSun"/>
        </w:rPr>
        <w:t>的政策要求，结合本校实际情况，统筹考虑近年来各省（区、市）的考生数量、生源情况和生源质量，研究确定来源计划。招生计划与相关考试科目要求以我校在各省（区、市）公布的来源计划为准。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的招生计划和生源情况确定提档比例，提档比例一般控制在招生计划的</w:t>
      </w:r>
      <w:r>
        <w:rPr>
          <w:rFonts w:ascii="Times New Roman" w:eastAsia="Times New Roman" w:hAnsi="Times New Roman" w:cs="Times New Roman"/>
        </w:rPr>
        <w:t>105%</w:t>
      </w:r>
      <w:r>
        <w:rPr>
          <w:rFonts w:ascii="SimSun" w:eastAsia="SimSun" w:hAnsi="SimSun" w:cs="SimSun"/>
        </w:rPr>
        <w:t>以内。提档最低控制分数线不低于当地本科一批录取控制分数线。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接收非第一志愿考生。若符合条件的非第一志愿考生生源仍不足，将征集志愿。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进档考生在思想政治品德考核和身体健康状况检查合格的情况下，安排专业时按考生的实际考分采取分数优先的原则，不设专业级差，当考生实考分数相同时，依次优先录取有政策加分考生、专业志愿位次靠前和与报考专业相关科目成绩较高的考生（理工类专业参考科目为数学，英语专业参考科目为英语，文史类其他专业参考科目为语文）。未被志愿专业录取且服从调剂的考生择优调剂录取，专业志愿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对于江苏省考生，要求选测科目等级为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，必测科目等级为</w:t>
      </w:r>
      <w:r>
        <w:rPr>
          <w:rFonts w:ascii="Times New Roman" w:eastAsia="Times New Roman" w:hAnsi="Times New Roman" w:cs="Times New Roman"/>
        </w:rPr>
        <w:t>4C</w:t>
      </w:r>
      <w:r>
        <w:rPr>
          <w:rFonts w:ascii="SimSun" w:eastAsia="SimSun" w:hAnsi="SimSun" w:cs="SimSun"/>
        </w:rPr>
        <w:t>，录取专业时，我校认可江苏省规定的文理科奖励分，按照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的方式，结合考生的专业志愿，择优录取。在分数相同的情况下，依据等级由高到低择优录取，等级顺序依次为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浙江省考生所填报的专业志愿必须符合已经公布的</w:t>
      </w:r>
      <w:r>
        <w:rPr>
          <w:rFonts w:ascii="Times New Roman" w:eastAsia="Times New Roman" w:hAnsi="Times New Roman" w:cs="Times New Roman"/>
        </w:rPr>
        <w:t>2019</w:t>
      </w:r>
      <w:r>
        <w:rPr>
          <w:rFonts w:ascii="SimSun" w:eastAsia="SimSun" w:hAnsi="SimSun" w:cs="SimSun"/>
        </w:rPr>
        <w:t>年各招生专业（类）对学生选考科目范围的要求，录取时按照浙江省级招办公布的录取工作文件执行。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的规则进行录取。即投档考生按计划数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的数额内，按专业志愿顺序依高考总分排序录取，若有退档则顺延录取。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对于加分投档的考生，学校提档时原则上承认省级招办报教育部备案的全国性加分项目，但同一考生如符合多项加分条件，只取其中最高一项分值，且加分不得超过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往届生录取原则同应届生。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 “</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、内地新疆班等招生事宜，依据教育部有关规定和本校的招生简章执行。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根据学校专业设置及培养方式，部分专业的特殊要求：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英语专业只招英语语种考生。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建筑学专业要求考生有一定的美术基础。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数学类专业要求考生数学单科成绩不低于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体检标准参照执行教育部、卫生部、中国残疾人联合会联合制定的《普通高等学校招生体检工作指导意见》及有关补充规定。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我校公共外语课目前只提供英语教学，且部分专业课程实行双语教学，教师用英语授课，非英语语种考生请谨慎报考。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新生入学后，按照国家和学校有关规定进行入学资格复查。凡复查不合格的，按照相关规定进行处理，直至取消其入学资格，已经取得学籍的取消其学籍。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根据国家有关文件精神，本科各专业学费标准为：英语专业：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年，工业工程、工商管理类、行政管理、法学等专业：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年，其他各专业：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年，住宿费根据住宿条件不同，每学年为</w:t>
      </w:r>
      <w:r>
        <w:rPr>
          <w:rFonts w:ascii="Times New Roman" w:eastAsia="Times New Roman" w:hAnsi="Times New Roman" w:cs="Times New Roman"/>
        </w:rPr>
        <w:t>750</w:t>
      </w:r>
      <w:r>
        <w:rPr>
          <w:rFonts w:ascii="SimSun" w:eastAsia="SimSun" w:hAnsi="SimSun" w:cs="SimSun"/>
        </w:rPr>
        <w:t>至</w:t>
      </w:r>
      <w:r>
        <w:rPr>
          <w:rFonts w:ascii="Times New Roman" w:eastAsia="Times New Roman" w:hAnsi="Times New Roman" w:cs="Times New Roman"/>
        </w:rPr>
        <w:t>1200</w:t>
      </w:r>
      <w:r>
        <w:rPr>
          <w:rFonts w:ascii="SimSun" w:eastAsia="SimSun" w:hAnsi="SimSun" w:cs="SimSun"/>
        </w:rPr>
        <w:t>元。如果上级主管部门调整收费标准，则执行新标准。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学校设有完善的奖、贷、助学金制度。对于家庭经济困难学生设有国家励志奖学金、国家助学金、国家助学贷款、勤工助学、困难补助、社会资助等较为完善的资助体系。新生入学时设有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以保证经济困难学生顺利入学。详细信息见当年招生简章或报考指南，也可访问学校网站了解。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w:t>
      </w:r>
      <w:r>
        <w:rPr>
          <w:rFonts w:ascii="Times New Roman" w:eastAsia="Times New Roman" w:hAnsi="Times New Roman" w:cs="Times New Roman"/>
        </w:rPr>
        <w:t>http://zb.cumtb.edu.cn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010-62331534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电子信箱：</w:t>
      </w:r>
      <w:r>
        <w:rPr>
          <w:rFonts w:ascii="Times New Roman" w:eastAsia="Times New Roman" w:hAnsi="Times New Roman" w:cs="Times New Roman"/>
        </w:rPr>
        <w:t>kyzb@cumtb.edu.cn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微信公众号：</w:t>
      </w:r>
      <w:r>
        <w:rPr>
          <w:rFonts w:ascii="Times New Roman" w:eastAsia="Times New Roman" w:hAnsi="Times New Roman" w:cs="Times New Roman"/>
        </w:rPr>
        <w:t>cumtbzhaoban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学校纪检监察部门投诉电话：</w:t>
      </w:r>
      <w:r>
        <w:rPr>
          <w:rFonts w:ascii="Times New Roman" w:eastAsia="Times New Roman" w:hAnsi="Times New Roman" w:cs="Times New Roman"/>
        </w:rPr>
        <w:t xml:space="preserve"> 010-62331416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本章程由中国矿业大学（北京）招生办公室负责解释。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中华女子学院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6.html" TargetMode="External" /><Relationship Id="rId5" Type="http://schemas.openxmlformats.org/officeDocument/2006/relationships/hyperlink" Target="http://www.gk114.com/a/gxzs/zszc/beijing/2019/0615/994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