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中国音乐学院本科招生章程（</w:t>
      </w:r>
      <w:r>
        <w:rPr>
          <w:rFonts w:ascii="Times New Roman" w:eastAsia="Times New Roman" w:hAnsi="Times New Roman" w:cs="Times New Roman"/>
          <w:kern w:val="36"/>
          <w:sz w:val="48"/>
          <w:szCs w:val="48"/>
        </w:rPr>
        <w:t>2019</w:t>
      </w:r>
      <w:r>
        <w:rPr>
          <w:rFonts w:ascii="SimSun" w:eastAsia="SimSun" w:hAnsi="SimSun" w:cs="SimSun"/>
          <w:kern w:val="36"/>
          <w:sz w:val="48"/>
          <w:szCs w:val="48"/>
        </w:rPr>
        <w:t>年）</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27"/>
          <w:szCs w:val="27"/>
        </w:rPr>
        <w:t xml:space="preserve">第一章 </w:t>
      </w:r>
      <w:r>
        <w:rPr>
          <w:rFonts w:ascii="Calibri" w:eastAsia="Calibri" w:hAnsi="Calibri" w:cs="Calibri"/>
          <w:color w:val="666666"/>
          <w:sz w:val="27"/>
          <w:szCs w:val="27"/>
        </w:rPr>
        <w:t> </w:t>
      </w:r>
      <w:r>
        <w:rPr>
          <w:rFonts w:ascii="SimHei" w:eastAsia="SimHei" w:hAnsi="SimHei" w:cs="SimHei"/>
          <w:color w:val="666666"/>
          <w:sz w:val="27"/>
          <w:szCs w:val="27"/>
        </w:rPr>
        <w:t>总则</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第一条</w:t>
      </w:r>
      <w:r>
        <w:rPr>
          <w:rFonts w:ascii="Calibri" w:eastAsia="Calibri" w:hAnsi="Calibri" w:cs="Calibri"/>
          <w:color w:val="666666"/>
          <w:sz w:val="27"/>
          <w:szCs w:val="27"/>
        </w:rPr>
        <w:t> </w:t>
      </w:r>
      <w:r>
        <w:rPr>
          <w:rFonts w:ascii="FangSong" w:eastAsia="FangSong" w:hAnsi="FangSong" w:cs="FangSong"/>
          <w:color w:val="666666"/>
          <w:sz w:val="27"/>
          <w:szCs w:val="27"/>
        </w:rPr>
        <w:t>根据《中华人民共和国教育法》、《中华人民共和国高等教育法》等相关法律、教育部及各省（自治区、直辖市）教育主管部门普通高等学校招生工作有关规定，结合学校实际情况，制定本章程。</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第二条</w:t>
      </w:r>
      <w:r>
        <w:rPr>
          <w:rFonts w:ascii="Calibri" w:eastAsia="Calibri" w:hAnsi="Calibri" w:cs="Calibri"/>
          <w:color w:val="666666"/>
          <w:sz w:val="27"/>
          <w:szCs w:val="27"/>
        </w:rPr>
        <w:t> </w:t>
      </w:r>
      <w:r>
        <w:rPr>
          <w:rFonts w:ascii="FangSong" w:eastAsia="FangSong" w:hAnsi="FangSong" w:cs="FangSong"/>
          <w:color w:val="666666"/>
          <w:sz w:val="27"/>
          <w:szCs w:val="27"/>
        </w:rPr>
        <w:t>学校名称：中国音乐学院。学校国标代码：10046。学校办学地址：北京市朝阳区安翔路1号。上级主管部门：北京市教育委员会。办学层次、类型及性质：本科，全日制，公办普通高等艺术院校。</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第三条</w:t>
      </w:r>
      <w:r>
        <w:rPr>
          <w:rFonts w:ascii="Calibri" w:eastAsia="Calibri" w:hAnsi="Calibri" w:cs="Calibri"/>
          <w:color w:val="666666"/>
          <w:sz w:val="27"/>
          <w:szCs w:val="27"/>
        </w:rPr>
        <w:t> </w:t>
      </w:r>
      <w:r>
        <w:rPr>
          <w:rFonts w:ascii="FangSong" w:eastAsia="FangSong" w:hAnsi="FangSong" w:cs="FangSong"/>
          <w:color w:val="666666"/>
          <w:sz w:val="27"/>
          <w:szCs w:val="27"/>
        </w:rPr>
        <w:t>颁发证书：在规定的年限内达到所在专业毕业要求者，颁发中国音乐学院本科毕业证书，证书种类：全日制普通高等学校毕业证书；符合学校学位授予有关规定者，颁发学士学位证书。</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第四条</w:t>
      </w:r>
      <w:r>
        <w:rPr>
          <w:rFonts w:ascii="Calibri" w:eastAsia="Calibri" w:hAnsi="Calibri" w:cs="Calibri"/>
          <w:color w:val="666666"/>
          <w:sz w:val="27"/>
          <w:szCs w:val="27"/>
        </w:rPr>
        <w:t> </w:t>
      </w:r>
      <w:r>
        <w:rPr>
          <w:rFonts w:ascii="FangSong" w:eastAsia="FangSong" w:hAnsi="FangSong" w:cs="FangSong"/>
          <w:color w:val="666666"/>
          <w:sz w:val="27"/>
          <w:szCs w:val="27"/>
        </w:rPr>
        <w:t>中国音乐学院本科招生考试是国家教育考试的组成部分，执行国家教育考试安全保密工作要求。</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27"/>
          <w:szCs w:val="27"/>
        </w:rPr>
        <w:t xml:space="preserve">第二章 </w:t>
      </w:r>
      <w:r>
        <w:rPr>
          <w:rFonts w:ascii="Calibri" w:eastAsia="Calibri" w:hAnsi="Calibri" w:cs="Calibri"/>
          <w:color w:val="666666"/>
          <w:sz w:val="27"/>
          <w:szCs w:val="27"/>
        </w:rPr>
        <w:t> </w:t>
      </w:r>
      <w:r>
        <w:rPr>
          <w:rFonts w:ascii="SimHei" w:eastAsia="SimHei" w:hAnsi="SimHei" w:cs="SimHei"/>
          <w:color w:val="666666"/>
          <w:sz w:val="27"/>
          <w:szCs w:val="27"/>
        </w:rPr>
        <w:t>组织机构</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第五条</w:t>
      </w:r>
      <w:r>
        <w:rPr>
          <w:rFonts w:ascii="Calibri" w:eastAsia="Calibri" w:hAnsi="Calibri" w:cs="Calibri"/>
          <w:color w:val="666666"/>
          <w:sz w:val="27"/>
          <w:szCs w:val="27"/>
        </w:rPr>
        <w:t> </w:t>
      </w:r>
      <w:r>
        <w:rPr>
          <w:rFonts w:ascii="FangSong" w:eastAsia="FangSong" w:hAnsi="FangSong" w:cs="FangSong"/>
          <w:color w:val="666666"/>
          <w:sz w:val="27"/>
          <w:szCs w:val="27"/>
        </w:rPr>
        <w:t>学校根据教育部的有关规定，设立本科招生委员会，全面负责学校的本科招生工作。本科招生委员会由主管校领导、教学部门负责人、职能部门负责人、教师代表、校友代表和学生代表组成。本科招生委员会设有监察席位。</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第六条</w:t>
      </w:r>
      <w:r>
        <w:rPr>
          <w:rFonts w:ascii="Calibri" w:eastAsia="Calibri" w:hAnsi="Calibri" w:cs="Calibri"/>
          <w:color w:val="666666"/>
          <w:sz w:val="27"/>
          <w:szCs w:val="27"/>
        </w:rPr>
        <w:t> </w:t>
      </w:r>
      <w:r>
        <w:rPr>
          <w:rFonts w:ascii="FangSong" w:eastAsia="FangSong" w:hAnsi="FangSong" w:cs="FangSong"/>
          <w:color w:val="666666"/>
          <w:sz w:val="27"/>
          <w:szCs w:val="27"/>
        </w:rPr>
        <w:t>学校设立本科招生常务委员会，负责本科招生委员会的日常工作。</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第七条</w:t>
      </w:r>
      <w:r>
        <w:rPr>
          <w:rFonts w:ascii="Calibri" w:eastAsia="Calibri" w:hAnsi="Calibri" w:cs="Calibri"/>
          <w:color w:val="666666"/>
          <w:sz w:val="27"/>
          <w:szCs w:val="27"/>
        </w:rPr>
        <w:t> </w:t>
      </w:r>
      <w:r>
        <w:rPr>
          <w:rFonts w:ascii="FangSong" w:eastAsia="FangSong" w:hAnsi="FangSong" w:cs="FangSong"/>
          <w:color w:val="666666"/>
          <w:sz w:val="27"/>
          <w:szCs w:val="27"/>
        </w:rPr>
        <w:t>学校本科招生委员会下设招生就业部和系招生工作领导小组，分别负责本科招生日常工作和本系本科招生考试工作。</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第八条</w:t>
      </w:r>
      <w:r>
        <w:rPr>
          <w:rFonts w:ascii="Calibri" w:eastAsia="Calibri" w:hAnsi="Calibri" w:cs="Calibri"/>
          <w:color w:val="666666"/>
          <w:sz w:val="27"/>
          <w:szCs w:val="27"/>
        </w:rPr>
        <w:t> </w:t>
      </w:r>
      <w:r>
        <w:rPr>
          <w:rFonts w:ascii="FangSong" w:eastAsia="FangSong" w:hAnsi="FangSong" w:cs="FangSong"/>
          <w:color w:val="666666"/>
          <w:sz w:val="27"/>
          <w:szCs w:val="27"/>
        </w:rPr>
        <w:t>学校招生工作自觉接受上级及纪检监察部门、考生、家长和社会各界的监督。</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第九条</w:t>
      </w:r>
      <w:r>
        <w:rPr>
          <w:rFonts w:ascii="Calibri" w:eastAsia="Calibri" w:hAnsi="Calibri" w:cs="Calibri"/>
          <w:color w:val="666666"/>
          <w:sz w:val="27"/>
          <w:szCs w:val="27"/>
        </w:rPr>
        <w:t> </w:t>
      </w:r>
      <w:r>
        <w:rPr>
          <w:rFonts w:ascii="FangSong" w:eastAsia="FangSong" w:hAnsi="FangSong" w:cs="FangSong"/>
          <w:color w:val="666666"/>
          <w:sz w:val="27"/>
          <w:szCs w:val="27"/>
        </w:rPr>
        <w:t>学校设立仲裁小组，具体负责对学校决议仲裁的考试内容进行复评、复判。</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27"/>
          <w:szCs w:val="27"/>
        </w:rPr>
        <w:t xml:space="preserve">第三章 </w:t>
      </w:r>
      <w:r>
        <w:rPr>
          <w:rFonts w:ascii="Calibri" w:eastAsia="Calibri" w:hAnsi="Calibri" w:cs="Calibri"/>
          <w:color w:val="666666"/>
          <w:sz w:val="27"/>
          <w:szCs w:val="27"/>
        </w:rPr>
        <w:t> </w:t>
      </w:r>
      <w:r>
        <w:rPr>
          <w:rFonts w:ascii="SimHei" w:eastAsia="SimHei" w:hAnsi="SimHei" w:cs="SimHei"/>
          <w:color w:val="666666"/>
          <w:sz w:val="27"/>
          <w:szCs w:val="27"/>
        </w:rPr>
        <w:t>招生计划</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第十条</w:t>
      </w:r>
      <w:r>
        <w:rPr>
          <w:rFonts w:ascii="Calibri" w:eastAsia="Calibri" w:hAnsi="Calibri" w:cs="Calibri"/>
          <w:b/>
          <w:bCs/>
          <w:color w:val="666666"/>
          <w:sz w:val="27"/>
          <w:szCs w:val="27"/>
        </w:rPr>
        <w:t> </w:t>
      </w:r>
      <w:r>
        <w:rPr>
          <w:rFonts w:ascii="FangSong" w:eastAsia="FangSong" w:hAnsi="FangSong" w:cs="FangSong"/>
          <w:color w:val="666666"/>
          <w:sz w:val="27"/>
          <w:szCs w:val="27"/>
        </w:rPr>
        <w:t>学校按照教育部、北京市教委的要求，根据发展规划、办学条件、生源状况、人才需求、学科发展等因素，编制年度招生计划。经学校本科招生委员会审议，上报上级主管部门审批，审批通过后由各省级招生主管部门向社会公布。</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第十一条</w:t>
      </w:r>
      <w:r>
        <w:rPr>
          <w:rFonts w:ascii="Calibri" w:eastAsia="Calibri" w:hAnsi="Calibri" w:cs="Calibri"/>
          <w:b/>
          <w:bCs/>
          <w:color w:val="666666"/>
          <w:sz w:val="27"/>
          <w:szCs w:val="27"/>
        </w:rPr>
        <w:t> </w:t>
      </w:r>
      <w:r>
        <w:rPr>
          <w:rFonts w:ascii="FangSong" w:eastAsia="FangSong" w:hAnsi="FangSong" w:cs="FangSong"/>
          <w:color w:val="666666"/>
          <w:sz w:val="27"/>
          <w:szCs w:val="27"/>
        </w:rPr>
        <w:t>学校艺术类专业面向全国统一招生，不编制分省招生计划，文理兼招；《北京市拓展中小学教师来源的行动计划（2018-2022年）》的北京市师范生计划只招收北京市常住户口考生。</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27"/>
          <w:szCs w:val="27"/>
        </w:rPr>
        <w:t xml:space="preserve">第四章 </w:t>
      </w:r>
      <w:r>
        <w:rPr>
          <w:rFonts w:ascii="Calibri" w:eastAsia="Calibri" w:hAnsi="Calibri" w:cs="Calibri"/>
          <w:color w:val="666666"/>
          <w:sz w:val="27"/>
          <w:szCs w:val="27"/>
        </w:rPr>
        <w:t> </w:t>
      </w:r>
      <w:r>
        <w:rPr>
          <w:rFonts w:ascii="SimHei" w:eastAsia="SimHei" w:hAnsi="SimHei" w:cs="SimHei"/>
          <w:color w:val="666666"/>
          <w:sz w:val="27"/>
          <w:szCs w:val="27"/>
        </w:rPr>
        <w:t>招生条件</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Calibri" w:eastAsia="Calibri" w:hAnsi="Calibri" w:cs="Calibri"/>
          <w:b/>
          <w:bCs/>
          <w:color w:val="666666"/>
          <w:sz w:val="27"/>
          <w:szCs w:val="27"/>
        </w:rPr>
        <w:t> </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第十二条</w:t>
      </w:r>
      <w:r>
        <w:rPr>
          <w:rFonts w:ascii="Calibri" w:eastAsia="Calibri" w:hAnsi="Calibri" w:cs="Calibri"/>
          <w:b/>
          <w:bCs/>
          <w:color w:val="666666"/>
          <w:sz w:val="27"/>
          <w:szCs w:val="27"/>
        </w:rPr>
        <w:t> </w:t>
      </w:r>
      <w:r>
        <w:rPr>
          <w:rFonts w:ascii="FangSong" w:eastAsia="FangSong" w:hAnsi="FangSong" w:cs="FangSong"/>
          <w:color w:val="666666"/>
          <w:sz w:val="27"/>
          <w:szCs w:val="27"/>
        </w:rPr>
        <w:t>符合教育部规定和生源所在省（自治区、直辖市）招生委员会规定的报名要求的考生，均可报考。</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第十三条</w:t>
      </w:r>
      <w:r>
        <w:rPr>
          <w:rFonts w:ascii="Calibri" w:eastAsia="Calibri" w:hAnsi="Calibri" w:cs="Calibri"/>
          <w:color w:val="666666"/>
          <w:sz w:val="27"/>
          <w:szCs w:val="27"/>
        </w:rPr>
        <w:t> </w:t>
      </w:r>
      <w:r>
        <w:rPr>
          <w:rFonts w:ascii="FangSong" w:eastAsia="FangSong" w:hAnsi="FangSong" w:cs="FangSong"/>
          <w:color w:val="666666"/>
          <w:sz w:val="27"/>
          <w:szCs w:val="27"/>
        </w:rPr>
        <w:t>报考学校艺术类专业的考生须参加学校组织的专业考试和普通高等学校招生全国统一考试（高考）。考生所报专业属省级统考范围内的，考生须获得省级统考相应专业合格证书或省级统考合格；省级统考不涉及的专业，考生可直接参加学校组织的专业考试。</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第十四条</w:t>
      </w:r>
      <w:r>
        <w:rPr>
          <w:rFonts w:ascii="Calibri" w:eastAsia="Calibri" w:hAnsi="Calibri" w:cs="Calibri"/>
          <w:color w:val="666666"/>
          <w:sz w:val="27"/>
          <w:szCs w:val="27"/>
        </w:rPr>
        <w:t> </w:t>
      </w:r>
      <w:r>
        <w:rPr>
          <w:rFonts w:ascii="FangSong" w:eastAsia="FangSong" w:hAnsi="FangSong" w:cs="FangSong"/>
          <w:color w:val="666666"/>
          <w:sz w:val="27"/>
          <w:szCs w:val="27"/>
        </w:rPr>
        <w:t>报考学校艺术类专业的华侨港澳台考生，均须参加学校组织的专业考试。专业考试合格的华侨港澳台考生，须按照普通高等学校联合招收华侨港澳台学生的相关规定，参加联合招生考试。专业考试合格的台湾考生可使用台湾地区大学入学考试学科能力测试（简称“学测”）成绩（达到均标级以上）向我校申请就读。</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27"/>
          <w:szCs w:val="27"/>
        </w:rPr>
        <w:t xml:space="preserve">第五章 </w:t>
      </w:r>
      <w:r>
        <w:rPr>
          <w:rFonts w:ascii="Calibri" w:eastAsia="Calibri" w:hAnsi="Calibri" w:cs="Calibri"/>
          <w:color w:val="666666"/>
          <w:sz w:val="27"/>
          <w:szCs w:val="27"/>
        </w:rPr>
        <w:t> </w:t>
      </w:r>
      <w:r>
        <w:rPr>
          <w:rFonts w:ascii="SimHei" w:eastAsia="SimHei" w:hAnsi="SimHei" w:cs="SimHei"/>
          <w:color w:val="666666"/>
          <w:sz w:val="27"/>
          <w:szCs w:val="27"/>
        </w:rPr>
        <w:t>录取</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p>
    <w:p>
      <w:pPr>
        <w:pBdr>
          <w:top w:val="none" w:sz="0" w:space="0" w:color="auto"/>
          <w:left w:val="none" w:sz="0" w:space="0" w:color="auto"/>
          <w:bottom w:val="none" w:sz="0" w:space="0" w:color="auto"/>
          <w:right w:val="none" w:sz="0" w:space="0" w:color="auto"/>
        </w:pBdr>
        <w:spacing w:before="0" w:after="0" w:line="273"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第十五条</w:t>
      </w:r>
      <w:r>
        <w:rPr>
          <w:rFonts w:ascii="Calibri" w:eastAsia="Calibri" w:hAnsi="Calibri" w:cs="Calibri"/>
          <w:b/>
          <w:bCs/>
          <w:color w:val="666666"/>
          <w:sz w:val="27"/>
          <w:szCs w:val="27"/>
        </w:rPr>
        <w:t> </w:t>
      </w:r>
      <w:r>
        <w:rPr>
          <w:rFonts w:ascii="FangSong" w:eastAsia="FangSong" w:hAnsi="FangSong" w:cs="FangSong"/>
          <w:color w:val="666666"/>
          <w:sz w:val="27"/>
          <w:szCs w:val="27"/>
        </w:rPr>
        <w:t>录</w:t>
      </w:r>
      <w:r>
        <w:rPr>
          <w:rFonts w:ascii="FangSong" w:eastAsia="FangSong" w:hAnsi="FangSong" w:cs="FangSong"/>
          <w:color w:val="666666"/>
          <w:sz w:val="27"/>
          <w:szCs w:val="27"/>
        </w:rPr>
        <w:t>取</w:t>
      </w:r>
      <w:r>
        <w:rPr>
          <w:rFonts w:ascii="FangSong" w:eastAsia="FangSong" w:hAnsi="FangSong" w:cs="FangSong"/>
          <w:color w:val="666666"/>
          <w:sz w:val="27"/>
          <w:szCs w:val="27"/>
        </w:rPr>
        <w:t>原则</w:t>
      </w:r>
      <w:r>
        <w:rPr>
          <w:rFonts w:ascii="Microsoft YaHei" w:eastAsia="Microsoft YaHei" w:hAnsi="Microsoft YaHei" w:cs="Microsoft YaHei"/>
          <w:color w:val="666666"/>
          <w:sz w:val="27"/>
          <w:szCs w:val="27"/>
        </w:rPr>
        <w:t> </w:t>
      </w:r>
    </w:p>
    <w:tbl>
      <w:tblPr>
        <w:tblW w:w="14326" w:type="dxa"/>
        <w:tblInd w:w="6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530"/>
        <w:gridCol w:w="4500"/>
        <w:gridCol w:w="20700"/>
      </w:tblGrid>
      <w:tr>
        <w:tblPrEx>
          <w:tblW w:w="14326" w:type="dxa"/>
          <w:tblInd w:w="6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2850"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top"/>
            <w:hideMark/>
          </w:tcPr>
          <w:p>
            <w:pPr>
              <w:pBdr>
                <w:top w:val="none" w:sz="0" w:space="0" w:color="auto"/>
                <w:left w:val="none" w:sz="0" w:space="0" w:color="auto"/>
                <w:bottom w:val="none" w:sz="0" w:space="0" w:color="auto"/>
                <w:right w:val="none" w:sz="0" w:space="0" w:color="auto"/>
              </w:pBdr>
              <w:spacing w:before="0" w:after="0" w:line="273"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7"/>
                <w:szCs w:val="27"/>
              </w:rPr>
              <w:t>系别</w:t>
            </w:r>
          </w:p>
        </w:tc>
        <w:tc>
          <w:tcPr>
            <w:tcW w:w="4455"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7"/>
                <w:szCs w:val="27"/>
              </w:rPr>
              <w:t>专业（招考方向）</w:t>
            </w:r>
          </w:p>
        </w:tc>
        <w:tc>
          <w:tcPr>
            <w:tcW w:w="4110"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7"/>
                <w:szCs w:val="27"/>
              </w:rPr>
              <w:t>录取原则</w:t>
            </w:r>
          </w:p>
        </w:tc>
      </w:tr>
      <w:tr>
        <w:tblPrEx>
          <w:tblW w:w="14326" w:type="dxa"/>
          <w:tblInd w:w="60" w:type="dxa"/>
          <w:tblCellMar>
            <w:top w:w="0" w:type="dxa"/>
            <w:left w:w="0" w:type="dxa"/>
            <w:bottom w:w="0" w:type="dxa"/>
            <w:right w:w="0" w:type="dxa"/>
          </w:tblCellMar>
        </w:tblPrEx>
        <w:trPr>
          <w:trHeight w:val="495"/>
        </w:trPr>
        <w:tc>
          <w:tcPr>
            <w:tcW w:w="2850"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音乐学系</w:t>
            </w:r>
          </w:p>
        </w:tc>
        <w:tc>
          <w:tcPr>
            <w:tcW w:w="4455"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音乐学（音乐学理论）</w:t>
            </w:r>
          </w:p>
        </w:tc>
        <w:tc>
          <w:tcPr>
            <w:tcW w:w="4110" w:type="dxa"/>
            <w:vMerge w:val="restart"/>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专业考试合格且高考成绩（含政策性加分）达到我校录取最低控制分数线的考生，按综合分从高到低顺序依次录取。综合分相同时比较专业总成绩。</w:t>
            </w:r>
          </w:p>
        </w:tc>
      </w:tr>
      <w:tr>
        <w:tblPrEx>
          <w:tblW w:w="14326" w:type="dxa"/>
          <w:tblInd w:w="60" w:type="dxa"/>
          <w:tblCellMar>
            <w:top w:w="0" w:type="dxa"/>
            <w:left w:w="0" w:type="dxa"/>
            <w:bottom w:w="0" w:type="dxa"/>
            <w:right w:w="0" w:type="dxa"/>
          </w:tblCellMar>
        </w:tblPrEx>
        <w:trPr>
          <w:trHeight w:val="1110"/>
        </w:trPr>
        <w:tc>
          <w:tcPr>
            <w:tcW w:w="2550" w:type="dxa"/>
            <w:vMerge w:val="restart"/>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音乐师范</w:t>
            </w:r>
            <w:r>
              <w:rPr>
                <w:rFonts w:ascii="FangSong" w:eastAsia="FangSong" w:hAnsi="FangSong" w:cs="FangSong"/>
                <w:b w:val="0"/>
                <w:bCs w:val="0"/>
                <w:i w:val="0"/>
                <w:iCs w:val="0"/>
                <w:smallCaps w:val="0"/>
                <w:color w:val="666666"/>
                <w:sz w:val="27"/>
                <w:szCs w:val="27"/>
              </w:rPr>
              <w:t>教育中心</w:t>
            </w:r>
          </w:p>
        </w:tc>
        <w:tc>
          <w:tcPr>
            <w:tcW w:w="4455"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音乐学（音乐教育声乐特长）</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7"/>
                <w:szCs w:val="27"/>
              </w:rPr>
            </w:pPr>
          </w:p>
        </w:tc>
      </w:tr>
      <w:tr>
        <w:tblPrEx>
          <w:tblW w:w="14326" w:type="dxa"/>
          <w:tblInd w:w="60" w:type="dxa"/>
          <w:tblCellMar>
            <w:top w:w="0" w:type="dxa"/>
            <w:left w:w="0" w:type="dxa"/>
            <w:bottom w:w="0" w:type="dxa"/>
            <w:right w:w="0" w:type="dxa"/>
          </w:tblCellMar>
        </w:tblPrEx>
        <w:trPr>
          <w:trHeight w:val="1380"/>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7"/>
                <w:szCs w:val="27"/>
              </w:rPr>
            </w:pPr>
          </w:p>
        </w:tc>
        <w:tc>
          <w:tcPr>
            <w:tcW w:w="5490"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音乐学（音乐教育钢琴特长）</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7"/>
                <w:szCs w:val="27"/>
              </w:rPr>
            </w:pPr>
          </w:p>
        </w:tc>
      </w:tr>
      <w:tr>
        <w:tblPrEx>
          <w:tblW w:w="14326" w:type="dxa"/>
          <w:tblInd w:w="60" w:type="dxa"/>
          <w:tblCellMar>
            <w:top w:w="0" w:type="dxa"/>
            <w:left w:w="0" w:type="dxa"/>
            <w:bottom w:w="0" w:type="dxa"/>
            <w:right w:w="0" w:type="dxa"/>
          </w:tblCellMar>
        </w:tblPrEx>
        <w:trPr>
          <w:trHeight w:val="600"/>
        </w:trPr>
        <w:tc>
          <w:tcPr>
            <w:tcW w:w="2850"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艺术管理系</w:t>
            </w:r>
          </w:p>
        </w:tc>
        <w:tc>
          <w:tcPr>
            <w:tcW w:w="4155"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音乐学（音乐管理）</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7"/>
                <w:szCs w:val="27"/>
              </w:rPr>
            </w:pPr>
          </w:p>
        </w:tc>
      </w:tr>
      <w:tr>
        <w:tblPrEx>
          <w:tblW w:w="14326" w:type="dxa"/>
          <w:tblInd w:w="60" w:type="dxa"/>
          <w:tblCellMar>
            <w:top w:w="0" w:type="dxa"/>
            <w:left w:w="0" w:type="dxa"/>
            <w:bottom w:w="0" w:type="dxa"/>
            <w:right w:w="0" w:type="dxa"/>
          </w:tblCellMar>
        </w:tblPrEx>
        <w:trPr>
          <w:trHeight w:val="2595"/>
        </w:trPr>
        <w:tc>
          <w:tcPr>
            <w:tcW w:w="2850" w:type="dxa"/>
            <w:vMerge w:val="restart"/>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音乐师范</w:t>
            </w:r>
            <w:r>
              <w:rPr>
                <w:rFonts w:ascii="FangSong" w:eastAsia="FangSong" w:hAnsi="FangSong" w:cs="FangSong"/>
                <w:b w:val="0"/>
                <w:bCs w:val="0"/>
                <w:i w:val="0"/>
                <w:iCs w:val="0"/>
                <w:smallCaps w:val="0"/>
                <w:color w:val="666666"/>
                <w:sz w:val="27"/>
                <w:szCs w:val="27"/>
              </w:rPr>
              <w:t>教育中心</w:t>
            </w:r>
          </w:p>
        </w:tc>
        <w:tc>
          <w:tcPr>
            <w:tcW w:w="4155"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音乐学（音乐教育师范声乐特长）</w:t>
            </w:r>
          </w:p>
        </w:tc>
        <w:tc>
          <w:tcPr>
            <w:tcW w:w="4110" w:type="dxa"/>
            <w:vMerge w:val="restart"/>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专业考试合格且高考成绩（含政策性加分）达到我校录取最低控制分数线的考生，采用专业志愿优先方式，按综合分从高到低顺序依次录取。综合分相同时比较专业总成绩。</w:t>
            </w:r>
          </w:p>
        </w:tc>
      </w:tr>
      <w:tr>
        <w:tblPrEx>
          <w:tblW w:w="14326" w:type="dxa"/>
          <w:tblInd w:w="60" w:type="dxa"/>
          <w:tblCellMar>
            <w:top w:w="0" w:type="dxa"/>
            <w:left w:w="0" w:type="dxa"/>
            <w:bottom w:w="0" w:type="dxa"/>
            <w:right w:w="0" w:type="dxa"/>
          </w:tblCellMar>
        </w:tblPrEx>
        <w:trPr>
          <w:trHeight w:val="375"/>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7"/>
                <w:szCs w:val="27"/>
              </w:rPr>
            </w:pPr>
          </w:p>
        </w:tc>
        <w:tc>
          <w:tcPr>
            <w:tcW w:w="5490"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音乐学（音乐教育师范钢琴特长）</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7"/>
                <w:szCs w:val="27"/>
              </w:rPr>
            </w:pPr>
          </w:p>
        </w:tc>
      </w:tr>
      <w:tr>
        <w:tblPrEx>
          <w:tblW w:w="14326" w:type="dxa"/>
          <w:tblInd w:w="60" w:type="dxa"/>
          <w:tblCellMar>
            <w:top w:w="0" w:type="dxa"/>
            <w:left w:w="0" w:type="dxa"/>
            <w:bottom w:w="0" w:type="dxa"/>
            <w:right w:w="0" w:type="dxa"/>
          </w:tblCellMar>
        </w:tblPrEx>
        <w:trPr>
          <w:trHeight w:val="1695"/>
        </w:trPr>
        <w:tc>
          <w:tcPr>
            <w:tcW w:w="2850" w:type="dxa"/>
            <w:vMerge w:val="restart"/>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作曲系</w:t>
            </w:r>
          </w:p>
        </w:tc>
        <w:tc>
          <w:tcPr>
            <w:tcW w:w="4155"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作曲与作曲技术理论（作曲）</w:t>
            </w:r>
          </w:p>
        </w:tc>
        <w:tc>
          <w:tcPr>
            <w:tcW w:w="4110" w:type="dxa"/>
            <w:vMerge w:val="restart"/>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专业考试合格且高考成绩（含政策性加分）达到我校录取最低控制分数线的考生，按照专业考试排名顺序依次录取。</w:t>
            </w:r>
          </w:p>
        </w:tc>
      </w:tr>
      <w:tr>
        <w:tblPrEx>
          <w:tblW w:w="14326" w:type="dxa"/>
          <w:tblInd w:w="60" w:type="dxa"/>
          <w:tblCellMar>
            <w:top w:w="0" w:type="dxa"/>
            <w:left w:w="0" w:type="dxa"/>
            <w:bottom w:w="0" w:type="dxa"/>
            <w:right w:w="0" w:type="dxa"/>
          </w:tblCellMar>
        </w:tblPrEx>
        <w:trPr>
          <w:trHeight w:val="405"/>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7"/>
                <w:szCs w:val="27"/>
              </w:rPr>
            </w:pPr>
          </w:p>
        </w:tc>
        <w:tc>
          <w:tcPr>
            <w:tcW w:w="5490"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作曲与作曲技术理论（作曲实验班）</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7"/>
                <w:szCs w:val="27"/>
              </w:rPr>
            </w:pPr>
          </w:p>
        </w:tc>
      </w:tr>
      <w:tr>
        <w:tblPrEx>
          <w:tblW w:w="14326" w:type="dxa"/>
          <w:tblInd w:w="60" w:type="dxa"/>
          <w:tblCellMar>
            <w:top w:w="0" w:type="dxa"/>
            <w:left w:w="0" w:type="dxa"/>
            <w:bottom w:w="0" w:type="dxa"/>
            <w:right w:w="0" w:type="dxa"/>
          </w:tblCellMar>
        </w:tblPrEx>
        <w:tc>
          <w:tcPr>
            <w:tcW w:w="2850" w:type="dxa"/>
            <w:vMerge w:val="restart"/>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声乐歌剧系</w:t>
            </w:r>
          </w:p>
        </w:tc>
        <w:tc>
          <w:tcPr>
            <w:tcW w:w="4155"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音乐表演（中国声乐）</w:t>
            </w:r>
          </w:p>
        </w:tc>
        <w:tc>
          <w:tcPr>
            <w:tcW w:w="4110" w:type="dxa"/>
            <w:vMerge w:val="restart"/>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专业考试合格且高考成绩（含政策性加分）达到我校录取最低控制分数线的考生，按照专业考试排名顺序依次录取。</w:t>
            </w:r>
          </w:p>
        </w:tc>
      </w:tr>
      <w:tr>
        <w:tblPrEx>
          <w:tblW w:w="14326" w:type="dxa"/>
          <w:tblInd w:w="60" w:type="dxa"/>
          <w:tblCellMar>
            <w:top w:w="0" w:type="dxa"/>
            <w:left w:w="0" w:type="dxa"/>
            <w:bottom w:w="0" w:type="dxa"/>
            <w:right w:w="0" w:type="dxa"/>
          </w:tblCellMar>
        </w:tblPrEx>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7"/>
                <w:szCs w:val="27"/>
              </w:rPr>
            </w:pPr>
          </w:p>
        </w:tc>
        <w:tc>
          <w:tcPr>
            <w:tcW w:w="5490"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音乐表演（中国歌剧）</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7"/>
                <w:szCs w:val="27"/>
              </w:rPr>
            </w:pPr>
          </w:p>
        </w:tc>
      </w:tr>
      <w:tr>
        <w:tblPrEx>
          <w:tblW w:w="14326" w:type="dxa"/>
          <w:tblInd w:w="60" w:type="dxa"/>
          <w:tblCellMar>
            <w:top w:w="0" w:type="dxa"/>
            <w:left w:w="0" w:type="dxa"/>
            <w:bottom w:w="0" w:type="dxa"/>
            <w:right w:w="0" w:type="dxa"/>
          </w:tblCellMar>
        </w:tblPrEx>
        <w:trPr>
          <w:trHeight w:val="360"/>
        </w:trPr>
        <w:tc>
          <w:tcPr>
            <w:tcW w:w="2850" w:type="dxa"/>
            <w:vMerge w:val="restart"/>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管弦系</w:t>
            </w:r>
          </w:p>
        </w:tc>
        <w:tc>
          <w:tcPr>
            <w:tcW w:w="4155"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音乐表演（管弦乐器演奏）</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7"/>
                <w:szCs w:val="27"/>
              </w:rPr>
            </w:pPr>
          </w:p>
        </w:tc>
      </w:tr>
      <w:tr>
        <w:tblPrEx>
          <w:tblW w:w="14326" w:type="dxa"/>
          <w:tblInd w:w="60" w:type="dxa"/>
          <w:tblCellMar>
            <w:top w:w="0" w:type="dxa"/>
            <w:left w:w="0" w:type="dxa"/>
            <w:bottom w:w="0" w:type="dxa"/>
            <w:right w:w="0" w:type="dxa"/>
          </w:tblCellMar>
        </w:tblPrEx>
        <w:trPr>
          <w:trHeight w:val="360"/>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7"/>
                <w:szCs w:val="27"/>
              </w:rPr>
            </w:pPr>
          </w:p>
        </w:tc>
        <w:tc>
          <w:tcPr>
            <w:tcW w:w="5490"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音乐表演（管弦实验班）</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7"/>
                <w:szCs w:val="27"/>
              </w:rPr>
            </w:pPr>
          </w:p>
        </w:tc>
      </w:tr>
      <w:tr>
        <w:tblPrEx>
          <w:tblW w:w="14326" w:type="dxa"/>
          <w:tblInd w:w="60" w:type="dxa"/>
          <w:tblCellMar>
            <w:top w:w="0" w:type="dxa"/>
            <w:left w:w="0" w:type="dxa"/>
            <w:bottom w:w="0" w:type="dxa"/>
            <w:right w:w="0" w:type="dxa"/>
          </w:tblCellMar>
        </w:tblPrEx>
        <w:trPr>
          <w:trHeight w:val="360"/>
        </w:trPr>
        <w:tc>
          <w:tcPr>
            <w:tcW w:w="2850"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国乐系</w:t>
            </w:r>
          </w:p>
        </w:tc>
        <w:tc>
          <w:tcPr>
            <w:tcW w:w="4155"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音乐表演（中国乐器演奏）</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7"/>
                <w:szCs w:val="27"/>
              </w:rPr>
            </w:pPr>
          </w:p>
        </w:tc>
      </w:tr>
      <w:tr>
        <w:tblPrEx>
          <w:tblW w:w="14326" w:type="dxa"/>
          <w:tblInd w:w="60" w:type="dxa"/>
          <w:tblCellMar>
            <w:top w:w="0" w:type="dxa"/>
            <w:left w:w="0" w:type="dxa"/>
            <w:bottom w:w="0" w:type="dxa"/>
            <w:right w:w="0" w:type="dxa"/>
          </w:tblCellMar>
        </w:tblPrEx>
        <w:trPr>
          <w:trHeight w:val="450"/>
        </w:trPr>
        <w:tc>
          <w:tcPr>
            <w:tcW w:w="2850" w:type="dxa"/>
            <w:vMerge w:val="restart"/>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钢琴系</w:t>
            </w:r>
          </w:p>
        </w:tc>
        <w:tc>
          <w:tcPr>
            <w:tcW w:w="4155"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音乐表演（钢琴）</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7"/>
                <w:szCs w:val="27"/>
              </w:rPr>
            </w:pPr>
          </w:p>
        </w:tc>
      </w:tr>
      <w:tr>
        <w:tblPrEx>
          <w:tblW w:w="14326" w:type="dxa"/>
          <w:tblInd w:w="60" w:type="dxa"/>
          <w:tblCellMar>
            <w:top w:w="0" w:type="dxa"/>
            <w:left w:w="0" w:type="dxa"/>
            <w:bottom w:w="0" w:type="dxa"/>
            <w:right w:w="0" w:type="dxa"/>
          </w:tblCellMar>
        </w:tblPrEx>
        <w:trPr>
          <w:trHeight w:val="450"/>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7"/>
                <w:szCs w:val="27"/>
              </w:rPr>
            </w:pPr>
          </w:p>
        </w:tc>
        <w:tc>
          <w:tcPr>
            <w:tcW w:w="5490"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音乐表演（电子管风琴）</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7"/>
                <w:szCs w:val="27"/>
              </w:rPr>
            </w:pPr>
          </w:p>
        </w:tc>
      </w:tr>
      <w:tr>
        <w:tblPrEx>
          <w:tblW w:w="14326" w:type="dxa"/>
          <w:tblInd w:w="60" w:type="dxa"/>
          <w:tblCellMar>
            <w:top w:w="0" w:type="dxa"/>
            <w:left w:w="0" w:type="dxa"/>
            <w:bottom w:w="0" w:type="dxa"/>
            <w:right w:w="0" w:type="dxa"/>
          </w:tblCellMar>
        </w:tblPrEx>
        <w:trPr>
          <w:trHeight w:val="450"/>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7"/>
                <w:szCs w:val="27"/>
              </w:rPr>
            </w:pPr>
          </w:p>
        </w:tc>
        <w:tc>
          <w:tcPr>
            <w:tcW w:w="5490"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音乐表演（钢琴实验班）</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7"/>
                <w:szCs w:val="27"/>
              </w:rPr>
            </w:pPr>
          </w:p>
        </w:tc>
      </w:tr>
      <w:tr>
        <w:tblPrEx>
          <w:tblW w:w="14326" w:type="dxa"/>
          <w:tblInd w:w="60" w:type="dxa"/>
          <w:tblCellMar>
            <w:top w:w="0" w:type="dxa"/>
            <w:left w:w="0" w:type="dxa"/>
            <w:bottom w:w="0" w:type="dxa"/>
            <w:right w:w="0" w:type="dxa"/>
          </w:tblCellMar>
        </w:tblPrEx>
        <w:tc>
          <w:tcPr>
            <w:tcW w:w="2850"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指挥系</w:t>
            </w:r>
          </w:p>
        </w:tc>
        <w:tc>
          <w:tcPr>
            <w:tcW w:w="4155"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7"/>
                <w:szCs w:val="27"/>
              </w:rPr>
              <w:t>音乐表演（指挥）</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7"/>
                <w:szCs w:val="27"/>
              </w:rPr>
            </w:pPr>
          </w:p>
        </w:tc>
      </w:tr>
    </w:tbl>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r>
        <w:rPr>
          <w:rFonts w:ascii="FangSong" w:eastAsia="FangSong" w:hAnsi="FangSong" w:cs="FangSong"/>
          <w:color w:val="666666"/>
          <w:sz w:val="27"/>
          <w:szCs w:val="27"/>
        </w:rPr>
        <w:t xml:space="preserve"> 综合分= 专业总成绩×0.5+考生高考成绩（含政策性加分）÷考生所在省（市、自治区）普通本科第一批次录取控制分数线（文、理）×100×0.5。综合分四舍五入保留小数点后两位。</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7"/>
          <w:szCs w:val="27"/>
        </w:rPr>
        <w:t> </w:t>
      </w:r>
      <w:r>
        <w:rPr>
          <w:rFonts w:ascii="FangSong" w:eastAsia="FangSong" w:hAnsi="FangSong" w:cs="FangSong"/>
          <w:b/>
          <w:bCs/>
          <w:color w:val="666666"/>
          <w:sz w:val="27"/>
          <w:szCs w:val="27"/>
        </w:rPr>
        <w:t>第十六条</w:t>
      </w:r>
      <w:r>
        <w:rPr>
          <w:rFonts w:ascii="Calibri" w:eastAsia="Calibri" w:hAnsi="Calibri" w:cs="Calibri"/>
          <w:b/>
          <w:bCs/>
          <w:color w:val="666666"/>
          <w:sz w:val="27"/>
          <w:szCs w:val="27"/>
        </w:rPr>
        <w:t> </w:t>
      </w:r>
      <w:r>
        <w:rPr>
          <w:rFonts w:ascii="FangSong" w:eastAsia="FangSong" w:hAnsi="FangSong" w:cs="FangSong"/>
          <w:color w:val="666666"/>
          <w:sz w:val="27"/>
          <w:szCs w:val="27"/>
        </w:rPr>
        <w:t>录取控制分数线划定办法</w:t>
      </w:r>
    </w:p>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r>
        <w:rPr>
          <w:rFonts w:ascii="FangSong" w:eastAsia="FangSong" w:hAnsi="FangSong" w:cs="FangSong"/>
          <w:color w:val="666666"/>
          <w:sz w:val="27"/>
          <w:szCs w:val="27"/>
        </w:rPr>
        <w:t xml:space="preserve"> 1.音乐学（音乐学理论招考方向）：录取控制分数线参照生源所在省（市、自治区）普通本科第一批次录取控制分数线的70%，且不低于生源所在省（市、自治区）艺术类同科类本科专业录取控制分数线划定。</w:t>
      </w:r>
    </w:p>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r>
        <w:rPr>
          <w:rFonts w:ascii="FangSong" w:eastAsia="FangSong" w:hAnsi="FangSong" w:cs="FangSong"/>
          <w:color w:val="666666"/>
          <w:sz w:val="27"/>
          <w:szCs w:val="27"/>
        </w:rPr>
        <w:t xml:space="preserve"> 2.音乐学（音乐教育声乐特长、音乐教育钢琴特长、音乐教育师范声乐特长、音乐教育师范钢琴特长招考方向）：录取控制分数线参照生源所在省（市、自治区）普通本科第一批次录取控制分数线的70%，且不低于生源所在省（市、自治区）艺术类同科类本科专业录取控制分数线划定。</w:t>
      </w:r>
    </w:p>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r>
        <w:rPr>
          <w:rFonts w:ascii="FangSong" w:eastAsia="FangSong" w:hAnsi="FangSong" w:cs="FangSong"/>
          <w:color w:val="666666"/>
          <w:sz w:val="27"/>
          <w:szCs w:val="27"/>
        </w:rPr>
        <w:t xml:space="preserve"> 3.音乐学（音乐管理招考方向）：录取控制分数线参照生源所在省（市、自治区）普通本科第一批次录取控制分数线的80%，且不低于生源所在省（市、自治区）普通本科第二批次录取控制分数线划定。其中，高考外语科目成绩不低于90分（150分制）。</w:t>
      </w:r>
    </w:p>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r>
        <w:rPr>
          <w:rFonts w:ascii="FangSong" w:eastAsia="FangSong" w:hAnsi="FangSong" w:cs="FangSong"/>
          <w:color w:val="666666"/>
          <w:sz w:val="27"/>
          <w:szCs w:val="27"/>
        </w:rPr>
        <w:t xml:space="preserve"> 4.作曲与作曲技术理论（作曲招考方向）：录取控制分数线参照生源所在省（市、自治区）普通本科第一批次录取控制分数线的65%，且不低于生源所在省（市、自治区）艺术类同科类本科专业录取控制分数线划定。</w:t>
      </w:r>
    </w:p>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r>
        <w:rPr>
          <w:rFonts w:ascii="FangSong" w:eastAsia="FangSong" w:hAnsi="FangSong" w:cs="FangSong"/>
          <w:color w:val="666666"/>
          <w:sz w:val="27"/>
          <w:szCs w:val="27"/>
        </w:rPr>
        <w:t xml:space="preserve"> 5.作曲与作曲技术理论（作曲实验班招考方向）：录取控制分数线参照生源所在省（市、自治区）普通本科第一批次录取控制分数线划定。</w:t>
      </w:r>
    </w:p>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r>
        <w:rPr>
          <w:rFonts w:ascii="FangSong" w:eastAsia="FangSong" w:hAnsi="FangSong" w:cs="FangSong"/>
          <w:color w:val="666666"/>
          <w:sz w:val="27"/>
          <w:szCs w:val="27"/>
        </w:rPr>
        <w:t xml:space="preserve"> 6.音乐表演（指挥招考方向）：录取控制分数线参照生源所在省（市、自治区）普通本科第一批次录取控制分数线的60%，且不低于生源所在省（市、自治区）艺术类同科类本科专业录取控制分数线划定。</w:t>
      </w:r>
    </w:p>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r>
        <w:rPr>
          <w:rFonts w:ascii="FangSong" w:eastAsia="FangSong" w:hAnsi="FangSong" w:cs="FangSong"/>
          <w:color w:val="666666"/>
          <w:sz w:val="27"/>
          <w:szCs w:val="27"/>
        </w:rPr>
        <w:t xml:space="preserve"> 7.音乐表演（中国声乐、中国歌剧、中国乐器演奏、钢琴、电子管风琴、钢琴实验班、管弦乐器演奏、管弦实验班招考方向）：录取控制分数线参照生源所在省（市、自治区）艺术类同科类本科专业录取控制分数线划定。</w:t>
      </w:r>
    </w:p>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r>
        <w:rPr>
          <w:rFonts w:ascii="FangSong" w:eastAsia="FangSong" w:hAnsi="FangSong" w:cs="FangSong"/>
          <w:color w:val="666666"/>
          <w:sz w:val="27"/>
          <w:szCs w:val="27"/>
        </w:rPr>
        <w:t xml:space="preserve"> </w:t>
      </w:r>
      <w:r>
        <w:rPr>
          <w:rFonts w:ascii="Calibri" w:eastAsia="Calibri" w:hAnsi="Calibri" w:cs="Calibri"/>
          <w:color w:val="666666"/>
          <w:sz w:val="27"/>
          <w:szCs w:val="27"/>
        </w:rPr>
        <w:t>  </w:t>
      </w:r>
    </w:p>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color w:val="666666"/>
          <w:sz w:val="21"/>
          <w:szCs w:val="21"/>
        </w:rPr>
      </w:pPr>
      <w:r>
        <w:rPr>
          <w:rFonts w:ascii="Calibri" w:eastAsia="Calibri" w:hAnsi="Calibri" w:cs="Calibri"/>
          <w:b/>
          <w:bCs/>
          <w:color w:val="666666"/>
          <w:sz w:val="27"/>
          <w:szCs w:val="27"/>
        </w:rPr>
        <w:t> </w:t>
      </w:r>
      <w:r>
        <w:rPr>
          <w:rFonts w:ascii="FangSong" w:eastAsia="FangSong" w:hAnsi="FangSong" w:cs="FangSong"/>
          <w:b/>
          <w:bCs/>
          <w:color w:val="666666"/>
          <w:sz w:val="27"/>
          <w:szCs w:val="27"/>
        </w:rPr>
        <w:t xml:space="preserve"> 第十七条</w:t>
      </w:r>
      <w:r>
        <w:rPr>
          <w:rFonts w:ascii="Calibri" w:eastAsia="Calibri" w:hAnsi="Calibri" w:cs="Calibri"/>
          <w:color w:val="666666"/>
          <w:sz w:val="27"/>
          <w:szCs w:val="27"/>
        </w:rPr>
        <w:t> </w:t>
      </w:r>
      <w:r>
        <w:rPr>
          <w:rFonts w:ascii="FangSong" w:eastAsia="FangSong" w:hAnsi="FangSong" w:cs="FangSong"/>
          <w:color w:val="666666"/>
          <w:sz w:val="27"/>
          <w:szCs w:val="27"/>
        </w:rPr>
        <w:t>说明</w:t>
      </w:r>
    </w:p>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r>
        <w:rPr>
          <w:rFonts w:ascii="FangSong" w:eastAsia="FangSong" w:hAnsi="FangSong" w:cs="FangSong"/>
          <w:color w:val="666666"/>
          <w:sz w:val="27"/>
          <w:szCs w:val="27"/>
        </w:rPr>
        <w:t xml:space="preserve"> 1.对于合并本科批次的省份，本科第一批次录取控制分数线参照自主招生控制分数线或自主招生录取参考线划定，本科第二批次录取控制分数线参照本科批次录取控制分数线划定。浙江省本科第一批次录取控制分数线参照普通类第一段分数线划定，本科第二批次录取控制分数线参照普通类第二段分数线划定。对于艺术类考生无文理分科的省份，参考较低科类分数线执行。</w:t>
      </w:r>
    </w:p>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r>
        <w:rPr>
          <w:rFonts w:ascii="FangSong" w:eastAsia="FangSong" w:hAnsi="FangSong" w:cs="FangSong"/>
          <w:color w:val="666666"/>
          <w:sz w:val="27"/>
          <w:szCs w:val="27"/>
        </w:rPr>
        <w:t xml:space="preserve"> 2.生源所在省（市、自治区）艺术类同科类本科专业录取控制分数线若设有两批（类）或以上艺术类录取控制分数线，除标明我校所属批、类外，以高线为准。</w:t>
      </w:r>
    </w:p>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r>
        <w:rPr>
          <w:rFonts w:ascii="FangSong" w:eastAsia="FangSong" w:hAnsi="FangSong" w:cs="FangSong"/>
          <w:color w:val="666666"/>
          <w:sz w:val="27"/>
          <w:szCs w:val="27"/>
        </w:rPr>
        <w:t xml:space="preserve"> 3.对于艺术类考生文化课成绩满分与普通类考生文化课成绩满分不一致的省份，进行折算比较。</w:t>
      </w:r>
    </w:p>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r>
        <w:rPr>
          <w:rFonts w:ascii="FangSong" w:eastAsia="FangSong" w:hAnsi="FangSong" w:cs="FangSong"/>
          <w:color w:val="666666"/>
          <w:sz w:val="27"/>
          <w:szCs w:val="27"/>
        </w:rPr>
        <w:t xml:space="preserve"> 4.海南省考生高考成绩按照标准分计算。</w:t>
      </w:r>
    </w:p>
    <w:p>
      <w:pPr>
        <w:pBdr>
          <w:top w:val="none" w:sz="0" w:space="0" w:color="auto"/>
          <w:left w:val="none" w:sz="0" w:space="0" w:color="auto"/>
          <w:bottom w:val="none" w:sz="0" w:space="0" w:color="auto"/>
          <w:right w:val="none" w:sz="0" w:space="0" w:color="auto"/>
        </w:pBdr>
        <w:spacing w:before="0" w:after="0" w:line="273" w:lineRule="atLeast"/>
        <w:ind w:left="0" w:right="0" w:firstLine="64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273"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第十八条</w:t>
      </w:r>
      <w:r>
        <w:rPr>
          <w:rFonts w:ascii="Calibri" w:eastAsia="Calibri" w:hAnsi="Calibri" w:cs="Calibri"/>
          <w:color w:val="666666"/>
          <w:sz w:val="27"/>
          <w:szCs w:val="27"/>
        </w:rPr>
        <w:t> </w:t>
      </w:r>
      <w:r>
        <w:rPr>
          <w:rFonts w:ascii="FangSong" w:eastAsia="FangSong" w:hAnsi="FangSong" w:cs="FangSong"/>
          <w:color w:val="666666"/>
          <w:sz w:val="27"/>
          <w:szCs w:val="27"/>
        </w:rPr>
        <w:t>录取特殊要求和限制条件</w:t>
      </w:r>
    </w:p>
    <w:p>
      <w:pPr>
        <w:pBdr>
          <w:top w:val="none" w:sz="0" w:space="0" w:color="auto"/>
          <w:left w:val="none" w:sz="0" w:space="0" w:color="auto"/>
          <w:bottom w:val="none" w:sz="0" w:space="0" w:color="auto"/>
          <w:right w:val="none" w:sz="0" w:space="0" w:color="auto"/>
        </w:pBdr>
        <w:spacing w:before="0" w:after="0" w:line="273"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1.学校对考生高考外语语种不作限制。</w:t>
      </w:r>
    </w:p>
    <w:p>
      <w:pPr>
        <w:pBdr>
          <w:top w:val="none" w:sz="0" w:space="0" w:color="auto"/>
          <w:left w:val="none" w:sz="0" w:space="0" w:color="auto"/>
          <w:bottom w:val="none" w:sz="0" w:space="0" w:color="auto"/>
          <w:right w:val="none" w:sz="0" w:space="0" w:color="auto"/>
        </w:pBdr>
        <w:spacing w:before="0" w:after="0" w:line="273"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2.外语科目成绩要求：音乐学（音乐管理招考方向）高考外语科目成绩不得低于90分（150分制）。</w:t>
      </w:r>
    </w:p>
    <w:p>
      <w:pPr>
        <w:pBdr>
          <w:top w:val="none" w:sz="0" w:space="0" w:color="auto"/>
          <w:left w:val="none" w:sz="0" w:space="0" w:color="auto"/>
          <w:bottom w:val="none" w:sz="0" w:space="0" w:color="auto"/>
          <w:right w:val="none" w:sz="0" w:space="0" w:color="auto"/>
        </w:pBdr>
        <w:spacing w:before="0" w:after="0" w:line="273"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3.体检要求：学校执行教育部、卫生部、中国残疾人联合会印发的《普通高等学校招生体检工作指导意见》和《教育部办公厅卫生部办公厅关于普通高等学校招生学生入学身体检查取消乙肝项目检测有关问题的通知》（教学厅〔2010〕2号）中的有关规定。</w:t>
      </w:r>
    </w:p>
    <w:p>
      <w:pPr>
        <w:pBdr>
          <w:top w:val="none" w:sz="0" w:space="0" w:color="auto"/>
          <w:left w:val="none" w:sz="0" w:space="0" w:color="auto"/>
          <w:bottom w:val="none" w:sz="0" w:space="0" w:color="auto"/>
          <w:right w:val="none" w:sz="0" w:space="0" w:color="auto"/>
        </w:pBdr>
        <w:spacing w:before="0" w:after="0" w:line="273"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4.师范生体检要求：报考考生应符合《北京市教师资格认定体格检查标准（试行）》。</w:t>
      </w:r>
    </w:p>
    <w:p>
      <w:pPr>
        <w:pBdr>
          <w:top w:val="none" w:sz="0" w:space="0" w:color="auto"/>
          <w:left w:val="none" w:sz="0" w:space="0" w:color="auto"/>
          <w:bottom w:val="none" w:sz="0" w:space="0" w:color="auto"/>
          <w:right w:val="none" w:sz="0" w:space="0" w:color="auto"/>
        </w:pBdr>
        <w:spacing w:before="0" w:after="0" w:line="273"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5.教师资格认定：根据《教育部关于印发&lt;中小学教师资格考试暂行办法&gt;&lt;中小学教师资格定期注册暂行办法&gt;的通知》（教师〔2013〕9号）、《北京市教育委员会关于北京市中小学教师资格考试改革试点工作的意见》，师范生类专业学生须参加教师资格考试。</w:t>
      </w:r>
    </w:p>
    <w:p>
      <w:pPr>
        <w:pBdr>
          <w:top w:val="none" w:sz="0" w:space="0" w:color="auto"/>
          <w:left w:val="none" w:sz="0" w:space="0" w:color="auto"/>
          <w:bottom w:val="none" w:sz="0" w:space="0" w:color="auto"/>
          <w:right w:val="none" w:sz="0" w:space="0" w:color="auto"/>
        </w:pBdr>
        <w:spacing w:before="0" w:after="0" w:line="273"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6.师范生签约：根据《北京市关于加强和改进师范生培养与管理的意见》（京教人〔2016〕22号）文件要求，师范生入学前，须与学校和本市教育行政部门签订《师范生免费教育协议书》。</w:t>
      </w:r>
    </w:p>
    <w:p>
      <w:pPr>
        <w:pBdr>
          <w:top w:val="none" w:sz="0" w:space="0" w:color="auto"/>
          <w:left w:val="none" w:sz="0" w:space="0" w:color="auto"/>
          <w:bottom w:val="none" w:sz="0" w:space="0" w:color="auto"/>
          <w:right w:val="none" w:sz="0" w:space="0" w:color="auto"/>
        </w:pBdr>
        <w:spacing w:before="0" w:after="0" w:line="273"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7"/>
          <w:szCs w:val="27"/>
        </w:rPr>
        <w:t>7.师范生就业：师范生就业政策按照《关于加强和改进师范生培养与管理的意见》（京教人〔2016〕22号）执行，毕业时在全市基础教育系统双向选择就业，毕业后从事本市中小学、幼儿园教育教学工作（含教育行政及相关部门审核注册的中等及中等以下的学历教育机构）满五年以上。师范生违反教育协议的需要缴纳在校期间的专业奖学金和培养费用（含免缴的学费、取得的生活补助等），具体标准参照《关于对违反师范毕业生服务期制度者追缴专业奖学金和培养费若干问题的通知》（京教财〔1998〕018号）执行。</w:t>
      </w:r>
    </w:p>
    <w:p>
      <w:pPr>
        <w:pBdr>
          <w:top w:val="none" w:sz="0" w:space="0" w:color="auto"/>
          <w:left w:val="none" w:sz="0" w:space="0" w:color="auto"/>
          <w:bottom w:val="none" w:sz="0" w:space="0" w:color="auto"/>
          <w:right w:val="none" w:sz="0" w:space="0" w:color="auto"/>
        </w:pBdr>
        <w:spacing w:before="0" w:after="0" w:line="273"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第十九条</w:t>
      </w:r>
      <w:r>
        <w:rPr>
          <w:rFonts w:ascii="Calibri" w:eastAsia="Calibri" w:hAnsi="Calibri" w:cs="Calibri"/>
          <w:color w:val="666666"/>
          <w:sz w:val="27"/>
          <w:szCs w:val="27"/>
        </w:rPr>
        <w:t> </w:t>
      </w:r>
      <w:r>
        <w:rPr>
          <w:rFonts w:ascii="FangSong" w:eastAsia="FangSong" w:hAnsi="FangSong" w:cs="FangSong"/>
          <w:color w:val="666666"/>
          <w:sz w:val="27"/>
          <w:szCs w:val="27"/>
        </w:rPr>
        <w:t>学校按照当年度《中国音乐学院本科招生考试实施细则》相关规定进行剩余计划调剂。</w:t>
      </w:r>
    </w:p>
    <w:p>
      <w:pPr>
        <w:pBdr>
          <w:top w:val="none" w:sz="0" w:space="0" w:color="auto"/>
          <w:left w:val="none" w:sz="0" w:space="0" w:color="auto"/>
          <w:bottom w:val="none" w:sz="0" w:space="0" w:color="auto"/>
          <w:right w:val="none" w:sz="0" w:space="0" w:color="auto"/>
        </w:pBdr>
        <w:spacing w:before="0" w:after="0" w:line="273" w:lineRule="atLeast"/>
        <w:ind w:left="0" w:right="0"/>
        <w:rPr>
          <w:rFonts w:ascii="Microsoft YaHei" w:eastAsia="Microsoft YaHei" w:hAnsi="Microsoft YaHei" w:cs="Microsoft YaHei"/>
          <w:color w:val="666666"/>
          <w:sz w:val="21"/>
          <w:szCs w:val="21"/>
        </w:rPr>
      </w:pPr>
      <w:r>
        <w:rPr>
          <w:rFonts w:ascii="Calibri" w:eastAsia="Calibri" w:hAnsi="Calibri" w:cs="Calibri"/>
          <w:b/>
          <w:bCs/>
          <w:color w:val="666666"/>
          <w:sz w:val="27"/>
          <w:szCs w:val="27"/>
        </w:rPr>
        <w:t> </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27"/>
          <w:szCs w:val="27"/>
        </w:rPr>
        <w:t>第六章　收费标准</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r>
        <w:rPr>
          <w:rFonts w:ascii="FangSong" w:eastAsia="FangSong" w:hAnsi="FangSong" w:cs="FangSong"/>
          <w:b/>
          <w:bCs/>
          <w:color w:val="666666"/>
          <w:sz w:val="27"/>
          <w:szCs w:val="27"/>
        </w:rPr>
        <w:t>第二十条</w:t>
      </w:r>
      <w:r>
        <w:rPr>
          <w:rFonts w:ascii="Calibri" w:eastAsia="Calibri" w:hAnsi="Calibri" w:cs="Calibri"/>
          <w:color w:val="666666"/>
          <w:sz w:val="27"/>
          <w:szCs w:val="27"/>
        </w:rPr>
        <w:t> </w:t>
      </w:r>
      <w:r>
        <w:rPr>
          <w:rFonts w:ascii="FangSong" w:eastAsia="FangSong" w:hAnsi="FangSong" w:cs="FangSong"/>
          <w:color w:val="666666"/>
          <w:sz w:val="27"/>
          <w:szCs w:val="27"/>
        </w:rPr>
        <w:t>音乐学专业各招考方向（除音乐教育师范声乐特长、音乐教育师范钢琴特长招考方向）每学年8000元。作曲与作曲技术理论各招考方向每学年8000元。音乐表演专业各招考方向每学年10000元。音乐学（音乐教育师范声乐特长、音乐教育师范钢琴特长招考方向）按北京市师范生相关政策执行。</w:t>
      </w:r>
    </w:p>
    <w:p>
      <w:pPr>
        <w:pBdr>
          <w:top w:val="none" w:sz="0" w:space="0" w:color="auto"/>
          <w:left w:val="none" w:sz="0" w:space="0" w:color="auto"/>
          <w:bottom w:val="none" w:sz="0" w:space="0" w:color="auto"/>
          <w:right w:val="none" w:sz="0" w:space="0" w:color="auto"/>
        </w:pBdr>
        <w:spacing w:before="0" w:after="0" w:line="273"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第二十一条</w:t>
      </w:r>
      <w:r>
        <w:rPr>
          <w:rFonts w:ascii="Calibri" w:eastAsia="Calibri" w:hAnsi="Calibri" w:cs="Calibri"/>
          <w:color w:val="666666"/>
          <w:sz w:val="27"/>
          <w:szCs w:val="27"/>
        </w:rPr>
        <w:t> </w:t>
      </w:r>
      <w:r>
        <w:rPr>
          <w:rFonts w:ascii="FangSong" w:eastAsia="FangSong" w:hAnsi="FangSong" w:cs="FangSong"/>
          <w:color w:val="666666"/>
          <w:sz w:val="27"/>
          <w:szCs w:val="27"/>
        </w:rPr>
        <w:t>根据学校规定和安排，入住1号学生公寓的学生住宿费每学年750元，入住2号学生公寓的学生住宿费每学年900元。北京生源一律走读。</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第二十二条</w:t>
      </w:r>
      <w:r>
        <w:rPr>
          <w:rFonts w:ascii="Calibri" w:eastAsia="Calibri" w:hAnsi="Calibri" w:cs="Calibri"/>
          <w:b/>
          <w:bCs/>
          <w:color w:val="666666"/>
          <w:sz w:val="27"/>
          <w:szCs w:val="27"/>
        </w:rPr>
        <w:t> </w:t>
      </w:r>
      <w:r>
        <w:rPr>
          <w:rFonts w:ascii="FangSong" w:eastAsia="FangSong" w:hAnsi="FangSong" w:cs="FangSong"/>
          <w:color w:val="666666"/>
          <w:sz w:val="27"/>
          <w:szCs w:val="27"/>
        </w:rPr>
        <w:t>学费等有关收费标准如有变动，按当年批复标准执行。</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27"/>
          <w:szCs w:val="27"/>
        </w:rPr>
        <w:t>第七章　附则</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7"/>
          <w:szCs w:val="27"/>
        </w:rPr>
        <w:t> </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第二十三条</w:t>
      </w:r>
      <w:r>
        <w:rPr>
          <w:rFonts w:ascii="Calibri" w:eastAsia="Calibri" w:hAnsi="Calibri" w:cs="Calibri"/>
          <w:color w:val="666666"/>
          <w:sz w:val="27"/>
          <w:szCs w:val="27"/>
        </w:rPr>
        <w:t> </w:t>
      </w:r>
      <w:r>
        <w:rPr>
          <w:rFonts w:ascii="FangSong" w:eastAsia="FangSong" w:hAnsi="FangSong" w:cs="FangSong"/>
          <w:color w:val="666666"/>
          <w:sz w:val="27"/>
          <w:szCs w:val="27"/>
        </w:rPr>
        <w:t>新生入学后，按照国家和学校有关规定进行新生入学资格复查。复查不合格的学生，依据招生工作有关规定处理。</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第二十四条</w:t>
      </w:r>
      <w:r>
        <w:rPr>
          <w:rFonts w:ascii="Calibri" w:eastAsia="Calibri" w:hAnsi="Calibri" w:cs="Calibri"/>
          <w:color w:val="666666"/>
          <w:sz w:val="27"/>
          <w:szCs w:val="27"/>
        </w:rPr>
        <w:t> </w:t>
      </w:r>
      <w:r>
        <w:rPr>
          <w:rFonts w:ascii="FangSong" w:eastAsia="FangSong" w:hAnsi="FangSong" w:cs="FangSong"/>
          <w:color w:val="666666"/>
          <w:sz w:val="27"/>
          <w:szCs w:val="27"/>
        </w:rPr>
        <w:t>学校本科招生咨询电话：010-64887367，电子邮箱：ccmzhaosheng@126.com，学校官网网址：http://www.ccmusic.edu.cn，本科招生信息网网址：http://www.ccmusic.edu.cn/subsite/bkzs/，监察举报受理电话：010-64887178。</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第二十五条</w:t>
      </w:r>
      <w:r>
        <w:rPr>
          <w:rFonts w:ascii="Calibri" w:eastAsia="Calibri" w:hAnsi="Calibri" w:cs="Calibri"/>
          <w:color w:val="666666"/>
          <w:sz w:val="27"/>
          <w:szCs w:val="27"/>
        </w:rPr>
        <w:t> </w:t>
      </w:r>
      <w:r>
        <w:rPr>
          <w:rFonts w:ascii="FangSong" w:eastAsia="FangSong" w:hAnsi="FangSong" w:cs="FangSong"/>
          <w:color w:val="666666"/>
          <w:sz w:val="27"/>
          <w:szCs w:val="27"/>
        </w:rPr>
        <w:t>学校不委托任何中介机构或个人进行招生录取工作，不收取国家规定外的任何费用，不举办任何形式的艺术类专业考试考前辅导班。以学校名义进行非法招生宣传等活动、举办考前辅导班的任何单位、机构或个人，学校保留依法追究其责任的权利。</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第二十六条</w:t>
      </w:r>
      <w:r>
        <w:rPr>
          <w:rFonts w:ascii="Calibri" w:eastAsia="Calibri" w:hAnsi="Calibri" w:cs="Calibri"/>
          <w:color w:val="666666"/>
          <w:sz w:val="27"/>
          <w:szCs w:val="27"/>
        </w:rPr>
        <w:t> </w:t>
      </w:r>
      <w:r>
        <w:rPr>
          <w:rFonts w:ascii="FangSong" w:eastAsia="FangSong" w:hAnsi="FangSong" w:cs="FangSong"/>
          <w:color w:val="666666"/>
          <w:sz w:val="27"/>
          <w:szCs w:val="27"/>
        </w:rPr>
        <w:t>本章程由学校本科招生委员会负责解释。</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27"/>
          <w:szCs w:val="27"/>
        </w:rPr>
        <w:t>第二十七条</w:t>
      </w:r>
      <w:r>
        <w:rPr>
          <w:rFonts w:ascii="Calibri" w:eastAsia="Calibri" w:hAnsi="Calibri" w:cs="Calibri"/>
          <w:color w:val="666666"/>
          <w:sz w:val="27"/>
          <w:szCs w:val="27"/>
        </w:rPr>
        <w:t> </w:t>
      </w:r>
      <w:r>
        <w:rPr>
          <w:rFonts w:ascii="FangSong" w:eastAsia="FangSong" w:hAnsi="FangSong" w:cs="FangSong"/>
          <w:color w:val="666666"/>
          <w:sz w:val="27"/>
          <w:szCs w:val="27"/>
        </w:rPr>
        <w:t>本章程自公布之日起施行。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中国人民公安大学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中央戏剧学院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3.html" TargetMode="External" /><Relationship Id="rId11" Type="http://schemas.openxmlformats.org/officeDocument/2006/relationships/hyperlink" Target="http://www.gk114.com/a/gxzs/zszc/beijing/2022/0526/22542.html" TargetMode="External" /><Relationship Id="rId12" Type="http://schemas.openxmlformats.org/officeDocument/2006/relationships/hyperlink" Target="http://www.gk114.com/a/gxzs/zszc/beijing/2022/0526/22541.html" TargetMode="External" /><Relationship Id="rId13" Type="http://schemas.openxmlformats.org/officeDocument/2006/relationships/hyperlink" Target="http://www.gk114.com/a/gxzs/zszc/beijing/2022/0526/22540.html" TargetMode="External" /><Relationship Id="rId14" Type="http://schemas.openxmlformats.org/officeDocument/2006/relationships/hyperlink" Target="http://www.gk114.com/a/gxzs/zszc/beijing/2022/0526/22538.html" TargetMode="External" /><Relationship Id="rId15" Type="http://schemas.openxmlformats.org/officeDocument/2006/relationships/hyperlink" Target="http://www.gk114.com/a/gxzs/zszc/beijing/2022/0526/22537.html" TargetMode="External" /><Relationship Id="rId16" Type="http://schemas.openxmlformats.org/officeDocument/2006/relationships/hyperlink" Target="http://www.gk114.com/a/gxzs/zszc/beijing/2022/0526/22536.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01.html" TargetMode="External" /><Relationship Id="rId5" Type="http://schemas.openxmlformats.org/officeDocument/2006/relationships/hyperlink" Target="http://www.gk114.com/a/gxzs/zszc/beijing/2019/0615/990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2.html" TargetMode="External" /><Relationship Id="rId9" Type="http://schemas.openxmlformats.org/officeDocument/2006/relationships/hyperlink" Target="http://www.gk114.com/a/gxzs/zszc/beijing/2022/1225/23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