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临夏现代职业学院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年普通专科（高职）招生章程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进一步规范招生工作程序，依法治招，保证招生录取工作的公开、公平、公正，根据《中华人民共和国教育法》、《中华人民共和国高等教育法》和甘肃省教育厅、甘肃省教育考试院的有关规定，结合学院招生工作的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学院全称：临夏现代职业学院。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办学地址：甘肃省临夏市北滨河东路</w:t>
      </w:r>
      <w:r>
        <w:rPr>
          <w:rFonts w:ascii="Times New Roman" w:eastAsia="Times New Roman" w:hAnsi="Times New Roman" w:cs="Times New Roman"/>
        </w:rPr>
        <w:t>50</w:t>
      </w:r>
      <w:r>
        <w:rPr>
          <w:rFonts w:ascii="SimSun" w:eastAsia="SimSun" w:hAnsi="SimSun" w:cs="SimSun"/>
        </w:rPr>
        <w:t>号，邮编：</w:t>
      </w:r>
      <w:r>
        <w:rPr>
          <w:rFonts w:ascii="Times New Roman" w:eastAsia="Times New Roman" w:hAnsi="Times New Roman" w:cs="Times New Roman"/>
        </w:rPr>
        <w:t>731199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办学类型：公办普通高等职业院校。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主管部门：甘肃省教育厅。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学习形式：全日制。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w:t>
      </w:r>
      <w:r>
        <w:rPr>
          <w:rFonts w:ascii="Times New Roman" w:eastAsia="Times New Roman" w:hAnsi="Times New Roman" w:cs="Times New Roman"/>
        </w:rPr>
        <w:t>   </w:t>
      </w:r>
      <w:r>
        <w:rPr>
          <w:rFonts w:ascii="SimSun" w:eastAsia="SimSun" w:hAnsi="SimSun" w:cs="SimSun"/>
        </w:rPr>
        <w:t>制：</w:t>
      </w:r>
      <w:r>
        <w:rPr>
          <w:rFonts w:ascii="Times New Roman" w:eastAsia="Times New Roman" w:hAnsi="Times New Roman" w:cs="Times New Roman"/>
        </w:rPr>
        <w:t>3</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学院概况：临夏现代职业学院是</w:t>
      </w:r>
      <w:r>
        <w:rPr>
          <w:rFonts w:ascii="Times New Roman" w:eastAsia="Times New Roman" w:hAnsi="Times New Roman" w:cs="Times New Roman"/>
        </w:rPr>
        <w:t>2015</w:t>
      </w:r>
      <w:r>
        <w:rPr>
          <w:rFonts w:ascii="SimSun" w:eastAsia="SimSun" w:hAnsi="SimSun" w:cs="SimSun"/>
        </w:rPr>
        <w:t>年经甘肃省政府批准、教育部备案，临夏回族自治州人民政府举办的专科层次的全日制普通高等职业学院。学院位于临夏市东城区，占地面积</w:t>
      </w:r>
      <w:r>
        <w:rPr>
          <w:rFonts w:ascii="Times New Roman" w:eastAsia="Times New Roman" w:hAnsi="Times New Roman" w:cs="Times New Roman"/>
        </w:rPr>
        <w:t>400</w:t>
      </w:r>
      <w:r>
        <w:rPr>
          <w:rFonts w:ascii="SimSun" w:eastAsia="SimSun" w:hAnsi="SimSun" w:cs="SimSun"/>
        </w:rPr>
        <w:t>亩，总建筑面积</w:t>
      </w:r>
      <w:r>
        <w:rPr>
          <w:rFonts w:ascii="Times New Roman" w:eastAsia="Times New Roman" w:hAnsi="Times New Roman" w:cs="Times New Roman"/>
        </w:rPr>
        <w:t>14.4</w:t>
      </w:r>
      <w:r>
        <w:rPr>
          <w:rFonts w:ascii="SimSun" w:eastAsia="SimSun" w:hAnsi="SimSun" w:cs="SimSun"/>
        </w:rPr>
        <w:t>万平方米，总投资</w:t>
      </w:r>
      <w:r>
        <w:rPr>
          <w:rFonts w:ascii="Times New Roman" w:eastAsia="Times New Roman" w:hAnsi="Times New Roman" w:cs="Times New Roman"/>
        </w:rPr>
        <w:t>5</w:t>
      </w:r>
      <w:r>
        <w:rPr>
          <w:rFonts w:ascii="SimSun" w:eastAsia="SimSun" w:hAnsi="SimSun" w:cs="SimSun"/>
        </w:rPr>
        <w:t>亿元。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学院在</w:t>
      </w:r>
      <w:r>
        <w:rPr>
          <w:rFonts w:ascii="Times New Roman" w:eastAsia="Times New Roman" w:hAnsi="Times New Roman" w:cs="Times New Roman"/>
        </w:rPr>
        <w:t>2020</w:t>
      </w:r>
      <w:r>
        <w:rPr>
          <w:rFonts w:ascii="SimSun" w:eastAsia="SimSun" w:hAnsi="SimSun" w:cs="SimSun"/>
        </w:rPr>
        <w:t>年开设应用阿拉伯语、应用外语（波斯语）、学前教育、早期教育、表演艺术、旅游管理、护理、口腔医学技术、助产、医学检验技术、老年服务与管理、汽车检测与维修技术、汽车营销与服务、会计、园林技术、畜牧兽医、建筑工程技术、工程测量技术、电子商务技术、跨境电子商务、计算机应用技术等</w:t>
      </w:r>
      <w:r>
        <w:rPr>
          <w:rFonts w:ascii="Times New Roman" w:eastAsia="Times New Roman" w:hAnsi="Times New Roman" w:cs="Times New Roman"/>
        </w:rPr>
        <w:t>21</w:t>
      </w:r>
      <w:r>
        <w:rPr>
          <w:rFonts w:ascii="SimSun" w:eastAsia="SimSun" w:hAnsi="SimSun" w:cs="SimSun"/>
        </w:rPr>
        <w:t>个专业。学院立足甘肃，面向全国部分省、自治区招生。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学院成立普高招生工作领导小组，负责拟定招生计划及招生专业，研究普高招生中的重大事宜。下设学院招生办公室，具体负责处理学院招生日常事务。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学院结合办学实际，科学、合理地制定招生计划。具体招生计划以省教育厅最终下达的为准。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学院招生录取工作在甘肃省教育厅、甘肃省教育考试院的领导下，实行</w:t>
      </w:r>
      <w:r>
        <w:rPr>
          <w:rFonts w:ascii="Times New Roman" w:eastAsia="Times New Roman" w:hAnsi="Times New Roman" w:cs="Times New Roman"/>
        </w:rPr>
        <w:t>“</w:t>
      </w:r>
      <w:r>
        <w:rPr>
          <w:rFonts w:ascii="SimSun" w:eastAsia="SimSun" w:hAnsi="SimSun" w:cs="SimSun"/>
        </w:rPr>
        <w:t>学院负责，招办监督</w:t>
      </w:r>
      <w:r>
        <w:rPr>
          <w:rFonts w:ascii="Times New Roman" w:eastAsia="Times New Roman" w:hAnsi="Times New Roman" w:cs="Times New Roman"/>
        </w:rPr>
        <w:t>”</w:t>
      </w:r>
      <w:r>
        <w:rPr>
          <w:rFonts w:ascii="SimSun" w:eastAsia="SimSun" w:hAnsi="SimSun" w:cs="SimSun"/>
        </w:rPr>
        <w:t>的录取体制。全面实施招生阳光工程，采取</w:t>
      </w:r>
      <w:r>
        <w:rPr>
          <w:rFonts w:ascii="Times New Roman" w:eastAsia="Times New Roman" w:hAnsi="Times New Roman" w:cs="Times New Roman"/>
        </w:rPr>
        <w:t>“</w:t>
      </w:r>
      <w:r>
        <w:rPr>
          <w:rFonts w:ascii="SimSun" w:eastAsia="SimSun" w:hAnsi="SimSun" w:cs="SimSun"/>
        </w:rPr>
        <w:t>公平、公正、公开、择优</w:t>
      </w:r>
      <w:r>
        <w:rPr>
          <w:rFonts w:ascii="Times New Roman" w:eastAsia="Times New Roman" w:hAnsi="Times New Roman" w:cs="Times New Roman"/>
        </w:rPr>
        <w:t>”</w:t>
      </w:r>
      <w:r>
        <w:rPr>
          <w:rFonts w:ascii="SimSun" w:eastAsia="SimSun" w:hAnsi="SimSun" w:cs="SimSun"/>
        </w:rPr>
        <w:t>的原则，严格按照教育部和各省（自治区、直辖市）教育行政部门、招生考试机构的有关规定开展本院招生录取工作。学院招生计划通过省招生主管部门、学院招生简章、学院网站等形式向社会公布。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学院招生工作在院纪检监察部门监督下进行，并接受广大考生、家长、新闻媒体以及社会各界的监督。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学院原则上以公布的各专业的招生计划按照规定批次进行录取。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当录取过程中出现各专业之间线上生源差距较大的情况时，在总计划不变的前提下，适当调整各专业招生计划数，减少线上生源不足的专业招生计划，相应增加生源充足的专业招生计划。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学院招生实行远程网上录取，不委托任何单位和个人做招生</w:t>
      </w:r>
      <w:r>
        <w:rPr>
          <w:rFonts w:ascii="Times New Roman" w:eastAsia="Times New Roman" w:hAnsi="Times New Roman" w:cs="Times New Roman"/>
        </w:rPr>
        <w:t>“</w:t>
      </w:r>
      <w:r>
        <w:rPr>
          <w:rFonts w:ascii="SimSun" w:eastAsia="SimSun" w:hAnsi="SimSun" w:cs="SimSun"/>
        </w:rPr>
        <w:t>中介</w:t>
      </w:r>
      <w:r>
        <w:rPr>
          <w:rFonts w:ascii="Times New Roman" w:eastAsia="Times New Roman" w:hAnsi="Times New Roman" w:cs="Times New Roman"/>
        </w:rPr>
        <w:t>”</w:t>
      </w:r>
      <w:r>
        <w:rPr>
          <w:rFonts w:ascii="SimSun" w:eastAsia="SimSun" w:hAnsi="SimSun" w:cs="SimSun"/>
        </w:rPr>
        <w:t>。学院按各省（自治区、直辖市）招生主管部门投档规则调阅学生电子档案；实行平行志愿投档的省（自治区、直辖市）原则上按公布计划进行调档，也可根据各省（自治区、直辖市）的规定及生源情况的不同作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当报考我院第一志愿考生生源不足时，学院按分数由高到低录取平行志愿考生和服从专业调剂志愿考生或征集志愿考生。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普通类进档考生专业分配按照</w:t>
      </w:r>
      <w:r>
        <w:rPr>
          <w:rFonts w:ascii="Times New Roman" w:eastAsia="Times New Roman" w:hAnsi="Times New Roman" w:cs="Times New Roman"/>
        </w:rPr>
        <w:t>“</w:t>
      </w:r>
      <w:r>
        <w:rPr>
          <w:rFonts w:ascii="SimSun" w:eastAsia="SimSun" w:hAnsi="SimSun" w:cs="SimSun"/>
        </w:rPr>
        <w:t>同一投档志愿分数优先</w:t>
      </w:r>
      <w:r>
        <w:rPr>
          <w:rFonts w:ascii="Times New Roman" w:eastAsia="Times New Roman" w:hAnsi="Times New Roman" w:cs="Times New Roman"/>
        </w:rPr>
        <w:t>”</w:t>
      </w:r>
      <w:r>
        <w:rPr>
          <w:rFonts w:ascii="SimSun" w:eastAsia="SimSun" w:hAnsi="SimSun" w:cs="SimSun"/>
        </w:rPr>
        <w:t>的原则进行，如果投档成绩相同，在录取专业时，文科按语文成绩录取（如语文成绩相同，再看外语成绩。如外语成绩相同，再看数学成绩。如数学成绩相同，再看文综成绩），理科按数学成绩录取（如数学成绩相同，再看外语成绩。如外语成绩相同，再看语文成绩。如语文成绩相同，再看理综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当考生成绩无法满足考生所填报的专业志愿时，如果考生服从专业调剂，学院根据考生高考成绩从高分到低分调剂到招生计划尚未完成的专业，直至录满；如果考生不服从专业调剂，作退档处理。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所有专业外语语种均要求为英语，建议非英语考生慎重报考。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在录取时，应届考生、往届考生同等对待。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学院同意执行各省（自治区、直辖市）教育行政部门、招生考试机构有关加分或降分投档的政策规定，按照加分或降分后的投档成绩进行录取和专业分配。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对考生身体健康的要求，我院按照教育部、卫生和计划生育委员会、中国残疾人联合会印发的《普通高等学院招生体检工作指导意见》及有关补充规定执行。新生入学后，须进行体检，如不符合专业要求，学院将调整其录取专业；不符合录取要求或弄虚作假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鉴于医学类等专业的培养要求和就业特点，学院建议色盲色弱者不宜报考。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录取结果按照教育部要求和各省（自治区、直辖市）规定的形式公布。考生也可登录甘肃省教育考试院网站查询。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学院收费严格按照《临夏州发展和改革委员会关于临夏现代职业学院学费住宿费收费标准的批复》（临州发改收费</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165</w:t>
      </w:r>
      <w:r>
        <w:rPr>
          <w:rFonts w:ascii="SimSun" w:eastAsia="SimSun" w:hAnsi="SimSun" w:cs="SimSun"/>
        </w:rPr>
        <w:t>号）文件的规定执行。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奖助贷制度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学院设有资助中心，为困难学生提供勤工助学岗位，发放困难补助。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学院设有各级各类奖、助学金，每学年评定一次。其中国家奖学金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学年，院长奖学金一等奖学金</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学年，二等奖学金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学年，三等奖学金</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学年。国家助学金的平均资助标准为</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家庭经济困难的新生可按国家有关规定持录取通知书到生源地教育局申请生源地助学贷款。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新生按学院发放的《录取通知书》和《新生入学须知》要求到院报到。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学院在新生入学后按照国家和学院规定进行入学资格复查。若发现学生个人信息与录取时所提供的高考电子档案不符（包含个人基本信息、既往病史和身体健康状况等），经学院查实属弄虚作假者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通讯联系方式。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学院地址：甘肃省临夏市北滨河东路</w:t>
      </w:r>
      <w:r>
        <w:rPr>
          <w:rFonts w:ascii="Times New Roman" w:eastAsia="Times New Roman" w:hAnsi="Times New Roman" w:cs="Times New Roman"/>
        </w:rPr>
        <w:t>50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731199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学院招生办公室电话：</w:t>
      </w:r>
      <w:r>
        <w:rPr>
          <w:rFonts w:ascii="Times New Roman" w:eastAsia="Times New Roman" w:hAnsi="Times New Roman" w:cs="Times New Roman"/>
        </w:rPr>
        <w:t xml:space="preserve">0930-6230895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学院网址：</w:t>
      </w:r>
      <w:r>
        <w:rPr>
          <w:rFonts w:ascii="Times New Roman" w:eastAsia="Times New Roman" w:hAnsi="Times New Roman" w:cs="Times New Roman"/>
        </w:rPr>
        <w:t xml:space="preserve">http://www.lxxdzy.com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学院以往有关招生工作的要求、规定如与本章程有冲突，以本章程为准，原政策、规定即时废止。本章程若与国家法律、法规、规范和上级有关政策相抵触，以国家法律、法规、规范和上级有关政策为准。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学院普通高考招生工作由招生办公室负责，院内其他单位组织的招生宣传须经招生办公室批准后方可实施。凡未经招生办公室批准，私自宣传导致的招生问题，后果由宣传单位自负。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本章程的解释权属学院招生办公室。</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兰州航空工业职工大学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甘肃能源化工职业学院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年普通专科（高职）招生章程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甘肃建筑职业技术学院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甘肃警察职业学院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兰州外语职业学院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1/0622/20011.html" TargetMode="External" /><Relationship Id="rId14" Type="http://schemas.openxmlformats.org/officeDocument/2006/relationships/hyperlink" Target="http://www.gk114.com/a/gxzs/zszc/gansu/2021/0622/20010.html" TargetMode="External" /><Relationship Id="rId15" Type="http://schemas.openxmlformats.org/officeDocument/2006/relationships/hyperlink" Target="http://www.gk114.com/a/gxzs/zszc/gansu/2021/0622/20009.html" TargetMode="External" /><Relationship Id="rId16" Type="http://schemas.openxmlformats.org/officeDocument/2006/relationships/hyperlink" Target="http://www.gk114.com/a/gxzs/zszc/gansu/2021/0622/20008.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0/0615/16790.html" TargetMode="External" /><Relationship Id="rId5" Type="http://schemas.openxmlformats.org/officeDocument/2006/relationships/hyperlink" Target="http://www.gk114.com/a/gxzs/zszc/gansu/2020/0615/16792.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