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乌鲁木齐开放大学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年春秋季招生简章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2022-03-11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乌鲁木齐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开放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大学是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国家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开放大学乌鲁木齐分校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（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原乌鲁木齐广播电视大学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）。</w:t>
      </w:r>
      <w:r>
        <w:rPr>
          <w:color w:val="000000"/>
          <w:sz w:val="32"/>
          <w:szCs w:val="32"/>
        </w:rPr>
        <w:t>2007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年，经新疆维吾尔自治区人民政府批准，原乌鲁木齐职业大学与乌鲁木齐成人教育学院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（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原乌鲁木齐广播电视大学）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合并，组建新的乌鲁木齐职业大学，实行区市共建、以市为主的管理体制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，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乌鲁木齐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开放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大学是乌鲁木齐职业大学面向乌鲁木齐市开展成人学历教育的机构，与学校共享普通高等教育资源和教学设施，向求学者提供开放教育专本科学历教育学习平台，为构建自治区终身教育体系和建设学习型社会服务。乌鲁木齐职业大学成立于</w:t>
      </w:r>
      <w:r>
        <w:rPr>
          <w:color w:val="000000"/>
          <w:sz w:val="32"/>
          <w:szCs w:val="32"/>
        </w:rPr>
        <w:t>1985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年，是乌鲁木齐市属唯一一所综合性全日制高等职业院校。学校是国家示范性骨干高职院校、自治区第三产业（现代服务业）职教园区理事长单位、新疆旅游教育联盟理事长和秘书长单位、乌鲁木齐职教集团龙头高职院校。</w:t>
      </w:r>
      <w:r>
        <w:rPr>
          <w:color w:val="000000"/>
          <w:sz w:val="32"/>
          <w:szCs w:val="32"/>
        </w:rPr>
        <w:t>2016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年入选全国“服务贡献</w:t>
      </w:r>
      <w:r>
        <w:rPr>
          <w:color w:val="000000"/>
          <w:sz w:val="32"/>
          <w:szCs w:val="32"/>
        </w:rPr>
        <w:t>50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强”高职院校。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一</w:t>
      </w: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、招生对象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本科专业：招生对象为具有国民教育系列相同或相近专业专科以上（含专科）学历者。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专科专业：招生对象为普通高中、职业高中、技工学校和中等专业学校毕业生。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二、学习方式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报名者需参加入学水平测试，测试需登录新疆终身学习网（</w:t>
      </w:r>
      <w:r>
        <w:rPr>
          <w:color w:val="000000"/>
          <w:sz w:val="32"/>
          <w:szCs w:val="32"/>
        </w:rPr>
        <w:t>http://www.xjlll.net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）进行测试。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所有专业使用国家通用语言文字授课。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学习形式：网上学习＋终结性考核。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学生主要利用多媒体资源和基于网络的远程教学平台学习。学生可以通过登录平台随时点播和查看网上教学资源，利用网上直播、双向视频系统等网络交互手段，与同学、教师进行学习交流，也可以到校参加集中面授或参加小组学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三、招生专业及收费情况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根据自治区发改委《关于新疆电大系统开放教育收费事宜的批复》文件规定：</w:t>
      </w:r>
    </w:p>
    <w:tbl>
      <w:tblPr>
        <w:tblW w:w="9045" w:type="dxa"/>
        <w:tblInd w:w="-29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6"/>
        <w:gridCol w:w="1806"/>
        <w:gridCol w:w="2466"/>
        <w:gridCol w:w="676"/>
        <w:gridCol w:w="706"/>
        <w:gridCol w:w="1366"/>
        <w:gridCol w:w="706"/>
        <w:gridCol w:w="1146"/>
        <w:gridCol w:w="1146"/>
        <w:gridCol w:w="706"/>
        <w:gridCol w:w="2906"/>
      </w:tblGrid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5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学历层次</w:t>
            </w:r>
          </w:p>
        </w:tc>
        <w:tc>
          <w:tcPr>
            <w:tcW w:w="2640" w:type="dxa"/>
            <w:gridSpan w:val="2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专业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每学分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/元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最低毕业学分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总学费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一学年学费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注册建档费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考试费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/门</w:t>
            </w:r>
          </w:p>
        </w:tc>
        <w:tc>
          <w:tcPr>
            <w:tcW w:w="4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教材费</w:t>
            </w: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5" w:type="dxa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本科（专科起点）</w:t>
            </w: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法学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65" w:type="dxa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按每学期实际产生教材费收费</w:t>
            </w: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小学教育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3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学前教育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汉语言文学（师范方向）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行政管理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金融学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社会工作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8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机械设计制造及其自动化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理科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5400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9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计算机科学与技术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理科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5400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土木工程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理科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5400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法学（新疆试点）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小学教育（新疆试点）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汉语言（新疆试点）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14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行政管理（新疆试点）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5" w:type="dxa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专科</w:t>
            </w: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法律事务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65" w:type="dxa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按每学期实际产生教材费收费</w:t>
            </w: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小学教育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3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学前教育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汉语言文学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FF0000"/>
                <w:sz w:val="22"/>
                <w:szCs w:val="22"/>
              </w:rPr>
              <w:t>大数据技术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FF0000"/>
                <w:sz w:val="15"/>
                <w:szCs w:val="15"/>
              </w:rPr>
              <w:t>（原计算机信息管理）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理科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5460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2730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建设工程管理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工程类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5070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2535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建筑工程技术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工程类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5070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2535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8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工程造价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工程类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5070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2535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9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行政管理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社会工作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人力资源管理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12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FF0000"/>
                <w:sz w:val="18"/>
                <w:szCs w:val="18"/>
              </w:rPr>
              <w:t>金融服务与管理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FF0000"/>
                <w:sz w:val="18"/>
                <w:szCs w:val="18"/>
              </w:rPr>
              <w:t>（原金融管理）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机电一体化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理科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5460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2730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14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旅游管理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4320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15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FF0000"/>
                <w:sz w:val="22"/>
                <w:szCs w:val="22"/>
              </w:rPr>
              <w:t>现代物流管理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FF0000"/>
                <w:sz w:val="18"/>
                <w:szCs w:val="18"/>
              </w:rPr>
              <w:t>（原物流管理）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16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法律事务（新疆试点）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17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小学教育（新疆试点）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18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FF0000"/>
                <w:sz w:val="22"/>
                <w:szCs w:val="22"/>
              </w:rPr>
              <w:t>中文（新疆试点）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FF0000"/>
                <w:sz w:val="16"/>
                <w:szCs w:val="16"/>
              </w:rPr>
              <w:t>[原汉语（新疆试点）]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19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行政管理（新疆试点）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学前教育（新疆试点）</w:t>
            </w:r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文科</w:t>
            </w:r>
          </w:p>
        </w:tc>
        <w:tc>
          <w:tcPr>
            <w:tcW w:w="6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9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9045" w:type="dxa"/>
          <w:tblInd w:w="-290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5" w:type="dxa"/>
            <w:gridSpan w:val="11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四</w:t>
      </w: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、毕业及颁证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根据教育部有关要求，本科、专科专业最短学习年限均为</w:t>
      </w:r>
      <w:r>
        <w:rPr>
          <w:color w:val="000000"/>
          <w:sz w:val="32"/>
          <w:szCs w:val="32"/>
        </w:rPr>
        <w:t>2.5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年，学籍自注册入学起八年内有效，实行学分制。本科毕业总学分为</w:t>
      </w:r>
      <w:r>
        <w:rPr>
          <w:color w:val="000000"/>
          <w:sz w:val="32"/>
          <w:szCs w:val="32"/>
        </w:rPr>
        <w:t>72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学分，专科毕业总学分为</w:t>
      </w:r>
      <w:r>
        <w:rPr>
          <w:color w:val="000000"/>
          <w:sz w:val="32"/>
          <w:szCs w:val="32"/>
        </w:rPr>
        <w:t>78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学分，取得规定的毕业总学分，准予毕业，颁发国家开放大学毕业证书。本科学生符合条件的可按规定申请国家开放大学学位。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3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毕业证书可在教育部学历证书查询网站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——中国高等教育学生信息网（</w:t>
      </w:r>
      <w:r>
        <w:rPr>
          <w:color w:val="000000"/>
          <w:sz w:val="32"/>
          <w:szCs w:val="32"/>
        </w:rPr>
        <w:t>www.chsi.com.cn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）查询。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五、报名时间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学校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春秋两季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招生，</w:t>
      </w:r>
      <w:r>
        <w:rPr>
          <w:color w:val="000000"/>
          <w:sz w:val="32"/>
          <w:szCs w:val="32"/>
        </w:rPr>
        <w:t>2022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年春季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报名截止时间为</w:t>
      </w:r>
      <w:r>
        <w:rPr>
          <w:color w:val="000000"/>
          <w:sz w:val="32"/>
          <w:szCs w:val="32"/>
        </w:rPr>
        <w:t>202</w:t>
      </w:r>
      <w:r>
        <w:rPr>
          <w:color w:val="000000"/>
          <w:sz w:val="32"/>
          <w:szCs w:val="32"/>
        </w:rPr>
        <w:t>2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年</w:t>
      </w:r>
      <w:r>
        <w:rPr>
          <w:color w:val="000000"/>
          <w:sz w:val="32"/>
          <w:szCs w:val="32"/>
        </w:rPr>
        <w:t>3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月</w:t>
      </w:r>
      <w:r>
        <w:rPr>
          <w:color w:val="000000"/>
          <w:sz w:val="32"/>
          <w:szCs w:val="32"/>
        </w:rPr>
        <w:t>1</w:t>
      </w:r>
      <w:r>
        <w:rPr>
          <w:color w:val="000000"/>
          <w:sz w:val="32"/>
          <w:szCs w:val="32"/>
        </w:rPr>
        <w:t>2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日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；</w:t>
      </w:r>
      <w:r>
        <w:rPr>
          <w:color w:val="000000"/>
          <w:sz w:val="32"/>
          <w:szCs w:val="32"/>
        </w:rPr>
        <w:t>2022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年秋季报名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截止时间为</w:t>
      </w:r>
      <w:r>
        <w:rPr>
          <w:color w:val="000000"/>
          <w:sz w:val="32"/>
          <w:szCs w:val="32"/>
        </w:rPr>
        <w:t>202</w:t>
      </w:r>
      <w:r>
        <w:rPr>
          <w:color w:val="000000"/>
          <w:sz w:val="32"/>
          <w:szCs w:val="32"/>
        </w:rPr>
        <w:t>2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年</w:t>
      </w:r>
      <w:r>
        <w:rPr>
          <w:color w:val="000000"/>
          <w:sz w:val="32"/>
          <w:szCs w:val="32"/>
        </w:rPr>
        <w:t>9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月</w:t>
      </w:r>
      <w:r>
        <w:rPr>
          <w:color w:val="000000"/>
          <w:sz w:val="32"/>
          <w:szCs w:val="32"/>
        </w:rPr>
        <w:t>1</w:t>
      </w:r>
      <w:r>
        <w:rPr>
          <w:color w:val="000000"/>
          <w:sz w:val="32"/>
          <w:szCs w:val="32"/>
        </w:rPr>
        <w:t>2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六、报名手续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（一）报读本科须持身份证、毕业证书的原件、复印件及专科学历证明（专科学历证明须为：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“中国高等教育学生信息网”下载的电子注册备案表复印件或“中国高等教育学历认证中心”出具的认证报告复印件）。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（二）报读专科须持身份证、高中阶段学历证书（包括中专、技校、职校、职高等）的原件和复印件。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jc w:val="both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（三）身份证号非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“</w:t>
      </w:r>
      <w:r>
        <w:rPr>
          <w:color w:val="000000"/>
          <w:sz w:val="32"/>
          <w:szCs w:val="32"/>
        </w:rPr>
        <w:t>65</w:t>
      </w:r>
      <w:r>
        <w:rPr>
          <w:rFonts w:ascii="方正仿宋_gbk" w:eastAsia="方正仿宋_gbk" w:hAnsi="方正仿宋_gbk" w:cs="方正仿宋_gbk"/>
          <w:color w:val="000000"/>
          <w:sz w:val="32"/>
          <w:szCs w:val="32"/>
        </w:rPr>
        <w:t>”开头的学生报名，需同时提供异地生材料：居住证、暂住证、社保卡、报名现场照片（电子版、以上材料具其一即可）。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七</w:t>
      </w: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、报名地址及交通路线：幸福路</w:t>
      </w:r>
      <w:r>
        <w:rPr>
          <w:color w:val="000000"/>
          <w:sz w:val="32"/>
          <w:szCs w:val="32"/>
        </w:rPr>
        <w:t>281</w:t>
      </w: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号乌鲁木齐职业大学西校区，乘</w:t>
      </w:r>
      <w:r>
        <w:rPr>
          <w:color w:val="000000"/>
          <w:sz w:val="32"/>
          <w:szCs w:val="32"/>
        </w:rPr>
        <w:t>17</w:t>
      </w: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、</w:t>
      </w:r>
      <w:r>
        <w:rPr>
          <w:color w:val="000000"/>
          <w:sz w:val="32"/>
          <w:szCs w:val="32"/>
        </w:rPr>
        <w:t>907</w:t>
      </w: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、</w:t>
      </w:r>
      <w:r>
        <w:rPr>
          <w:color w:val="000000"/>
          <w:sz w:val="32"/>
          <w:szCs w:val="32"/>
        </w:rPr>
        <w:t>29</w:t>
      </w: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、</w:t>
      </w:r>
      <w:r>
        <w:rPr>
          <w:color w:val="000000"/>
          <w:sz w:val="32"/>
          <w:szCs w:val="32"/>
        </w:rPr>
        <w:t>911</w:t>
      </w: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、</w:t>
      </w:r>
      <w:r>
        <w:rPr>
          <w:color w:val="000000"/>
          <w:sz w:val="32"/>
          <w:szCs w:val="32"/>
        </w:rPr>
        <w:t>306</w:t>
      </w:r>
      <w:r>
        <w:rPr>
          <w:rFonts w:ascii="方正黑体_gbk" w:eastAsia="方正黑体_gbk" w:hAnsi="方正黑体_gbk" w:cs="方正黑体_gbk"/>
          <w:color w:val="000000"/>
          <w:sz w:val="32"/>
          <w:szCs w:val="32"/>
        </w:rPr>
        <w:t>路公交车成教院站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643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480" w:right="0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SimSun" w:eastAsia="SimSun" w:hAnsi="SimSun" w:cs="SimSun"/>
          <w:color w:val="000000"/>
          <w:sz w:val="28"/>
          <w:szCs w:val="28"/>
        </w:rPr>
        <w:t>八、</w:t>
      </w:r>
      <w:r>
        <w:rPr>
          <w:rFonts w:ascii="SimSun" w:eastAsia="SimSun" w:hAnsi="SimSun" w:cs="SimSun"/>
          <w:color w:val="000000"/>
          <w:sz w:val="28"/>
          <w:szCs w:val="28"/>
        </w:rPr>
        <w:t>招生咨询电话与联系人</w:t>
      </w:r>
      <w:r>
        <w:rPr>
          <w:rFonts w:ascii="SimSun" w:eastAsia="SimSun" w:hAnsi="SimSun" w:cs="SimSun"/>
          <w:color w:val="000000"/>
          <w:sz w:val="28"/>
          <w:szCs w:val="28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1124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18999728309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 </w:t>
      </w:r>
      <w:r>
        <w:rPr>
          <w:rFonts w:ascii="SimSun" w:eastAsia="SimSun" w:hAnsi="SimSun" w:cs="SimSun"/>
          <w:color w:val="000000"/>
          <w:sz w:val="28"/>
          <w:szCs w:val="28"/>
        </w:rPr>
        <w:t> </w:t>
      </w:r>
      <w:r>
        <w:rPr>
          <w:rFonts w:ascii="SimSun" w:eastAsia="SimSun" w:hAnsi="SimSun" w:cs="SimSun"/>
          <w:color w:val="000000"/>
          <w:sz w:val="28"/>
          <w:szCs w:val="28"/>
        </w:rPr>
        <w:t>朱</w:t>
      </w:r>
      <w:r>
        <w:rPr>
          <w:rFonts w:ascii="SimSun" w:eastAsia="SimSun" w:hAnsi="SimSun" w:cs="SimSun"/>
          <w:color w:val="000000"/>
          <w:sz w:val="28"/>
          <w:szCs w:val="28"/>
        </w:rPr>
        <w:t>老师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1124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18099474421</w:t>
      </w:r>
      <w:r>
        <w:rPr>
          <w:rFonts w:ascii="Microsoft YaHei" w:eastAsia="Microsoft YaHei" w:hAnsi="Microsoft YaHei" w:cs="Microsoft YaHei"/>
          <w:color w:val="000000"/>
          <w:sz w:val="21"/>
          <w:szCs w:val="21"/>
        </w:rPr>
        <w:t>  </w:t>
      </w:r>
      <w:r>
        <w:rPr>
          <w:rFonts w:ascii="SimSun" w:eastAsia="SimSun" w:hAnsi="SimSun" w:cs="SimSun"/>
          <w:color w:val="000000"/>
          <w:sz w:val="28"/>
          <w:szCs w:val="28"/>
        </w:rPr>
        <w:t>杨</w:t>
      </w:r>
      <w:r>
        <w:rPr>
          <w:rFonts w:ascii="SimSun" w:eastAsia="SimSun" w:hAnsi="SimSun" w:cs="SimSun"/>
          <w:color w:val="000000"/>
          <w:sz w:val="28"/>
          <w:szCs w:val="28"/>
        </w:rPr>
        <w:t>老师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1124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13565914569  </w:t>
      </w:r>
      <w:r>
        <w:rPr>
          <w:rFonts w:ascii="SimSun" w:eastAsia="SimSun" w:hAnsi="SimSun" w:cs="SimSun"/>
          <w:color w:val="000000"/>
          <w:sz w:val="28"/>
          <w:szCs w:val="28"/>
        </w:rPr>
        <w:t>周老师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1124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>
        <w:rPr>
          <w:rFonts w:ascii="SimSun" w:eastAsia="SimSun" w:hAnsi="SimSun" w:cs="SimSun"/>
          <w:color w:val="000000"/>
          <w:sz w:val="28"/>
          <w:szCs w:val="28"/>
        </w:rPr>
        <w:t>招生监督电话：</w:t>
      </w:r>
      <w:r>
        <w:rPr>
          <w:color w:val="000000"/>
          <w:sz w:val="28"/>
          <w:szCs w:val="28"/>
        </w:rPr>
        <w:t>0991-8823910</w:t>
      </w:r>
      <w:r>
        <w:rPr>
          <w:rFonts w:ascii="SimSun" w:eastAsia="SimSun" w:hAnsi="SimSun" w:cs="SimSun"/>
          <w:color w:val="000000"/>
          <w:sz w:val="28"/>
          <w:szCs w:val="28"/>
        </w:rPr>
        <w:t>，</w:t>
      </w:r>
      <w:r>
        <w:rPr>
          <w:rFonts w:ascii="SimSun" w:eastAsia="SimSun" w:hAnsi="SimSun" w:cs="SimSun"/>
          <w:color w:val="FF0000"/>
          <w:sz w:val="28"/>
          <w:szCs w:val="28"/>
        </w:rPr>
        <w:t>邮箱：</w:t>
      </w:r>
      <w:r>
        <w:rPr>
          <w:color w:val="FF0000"/>
          <w:sz w:val="28"/>
          <w:szCs w:val="28"/>
        </w:rPr>
        <w:t>wlmqou@163.com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乌鲁木齐职业大学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年成人招生简章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新疆政法学院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乌鲁木齐职业大学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年成人招生简章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喀什大学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新疆职业大学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伊犁师范大学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石河子大学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宁夏大学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新疆职业大学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新疆天山职业技术大学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新疆医科大学厚博学院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石河子大学科技学院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新疆政法学院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年普通本专科招生章程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xinjiang/2021/0615/19932.html" TargetMode="External" /><Relationship Id="rId11" Type="http://schemas.openxmlformats.org/officeDocument/2006/relationships/hyperlink" Target="http://www.gk114.com/a/gxzs/zszc/xinjiang/2021/0224/18751.html" TargetMode="External" /><Relationship Id="rId12" Type="http://schemas.openxmlformats.org/officeDocument/2006/relationships/hyperlink" Target="http://www.gk114.com/a/gxzs/zszc/xinjiang/2021/0224/18734.html" TargetMode="External" /><Relationship Id="rId13" Type="http://schemas.openxmlformats.org/officeDocument/2006/relationships/hyperlink" Target="http://www.gk114.com/a/gxzs/zszc/xinjiang/2021/0224/18728.html" TargetMode="External" /><Relationship Id="rId14" Type="http://schemas.openxmlformats.org/officeDocument/2006/relationships/hyperlink" Target="http://www.gk114.com/a/gxzs/zszc/xinjiang/2021/0224/18726.html" TargetMode="External" /><Relationship Id="rId15" Type="http://schemas.openxmlformats.org/officeDocument/2006/relationships/hyperlink" Target="http://www.gk114.com/a/gxzs/zszc/xinjiang/2021/0224/18723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xinjiang/2022/0311/21853.html" TargetMode="External" /><Relationship Id="rId5" Type="http://schemas.openxmlformats.org/officeDocument/2006/relationships/hyperlink" Target="http://www.gk114.com/a/gxzs/zszc/xinjiang/2023/0612/28301.html" TargetMode="External" /><Relationship Id="rId6" Type="http://schemas.openxmlformats.org/officeDocument/2006/relationships/hyperlink" Target="http://www.gk114.com/a/gxzs/zszc/xinjiang/" TargetMode="External" /><Relationship Id="rId7" Type="http://schemas.openxmlformats.org/officeDocument/2006/relationships/hyperlink" Target="http://www.gk114.com/a/gxzs/zszc/xinjiang/2022/0220/21749.html" TargetMode="External" /><Relationship Id="rId8" Type="http://schemas.openxmlformats.org/officeDocument/2006/relationships/hyperlink" Target="http://www.gk114.com/a/gxzs/zszc/xinjiang/2021/0615/19940.html" TargetMode="External" /><Relationship Id="rId9" Type="http://schemas.openxmlformats.org/officeDocument/2006/relationships/hyperlink" Target="http://www.gk114.com/a/gxzs/zszc/xinjiang/2021/0615/199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