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乌鲁木齐职业大学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根据《中华人民共和国教育法》、《中华人民共和国高等教育法》和教育部门有关招生工作的规定，为了维护学校和考生的合法权益，依法招生，规范招生，现结合学校实际，特制定本章程。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本章程是社会了解学校有关招生政策、规定及相关信息的主要渠道，是学校开展招生咨询和录取工作的主要依据。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（一）学校名称：乌鲁木齐职业大学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（四）校址：乌鲁木齐市天山区幸福路</w:t>
      </w:r>
      <w:r>
        <w:rPr>
          <w:rFonts w:ascii="Times New Roman" w:eastAsia="Times New Roman" w:hAnsi="Times New Roman" w:cs="Times New Roman"/>
        </w:rPr>
        <w:t>723</w:t>
      </w:r>
      <w:r>
        <w:rPr>
          <w:rFonts w:ascii="SimSun" w:eastAsia="SimSun" w:hAnsi="SimSun" w:cs="SimSun"/>
        </w:rPr>
        <w:t>号（幸福路校区）、乌鲁木齐市天山区幸福路</w:t>
      </w:r>
      <w:r>
        <w:rPr>
          <w:rFonts w:ascii="Times New Roman" w:eastAsia="Times New Roman" w:hAnsi="Times New Roman" w:cs="Times New Roman"/>
        </w:rPr>
        <w:t>273</w:t>
      </w:r>
      <w:r>
        <w:rPr>
          <w:rFonts w:ascii="SimSun" w:eastAsia="SimSun" w:hAnsi="SimSun" w:cs="SimSun"/>
        </w:rPr>
        <w:t>号（西校区）、乌鲁木齐市经济开发区（头屯河区）祥云中街</w:t>
      </w:r>
      <w:r>
        <w:rPr>
          <w:rFonts w:ascii="Times New Roman" w:eastAsia="Times New Roman" w:hAnsi="Times New Roman" w:cs="Times New Roman"/>
        </w:rPr>
        <w:t>566</w:t>
      </w:r>
      <w:r>
        <w:rPr>
          <w:rFonts w:ascii="SimSun" w:eastAsia="SimSun" w:hAnsi="SimSun" w:cs="SimSun"/>
        </w:rPr>
        <w:t>号（祥云校区）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（五）学校代码（国标）</w:t>
      </w:r>
      <w:r>
        <w:rPr>
          <w:rFonts w:ascii="Times New Roman" w:eastAsia="Times New Roman" w:hAnsi="Times New Roman" w:cs="Times New Roman"/>
        </w:rPr>
        <w:t xml:space="preserve">:11565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学校基本概况：乌鲁木齐职业大学成立于</w:t>
      </w:r>
      <w:r>
        <w:rPr>
          <w:rFonts w:ascii="Times New Roman" w:eastAsia="Times New Roman" w:hAnsi="Times New Roman" w:cs="Times New Roman"/>
        </w:rPr>
        <w:t>1985</w:t>
      </w:r>
      <w:r>
        <w:rPr>
          <w:rFonts w:ascii="SimSun" w:eastAsia="SimSun" w:hAnsi="SimSun" w:cs="SimSun"/>
        </w:rPr>
        <w:t>年，是乌鲁木齐市属唯一一所综合性全日制普通高等职业院校，是改革开放后新疆成立的第一所高等职业院校。</w:t>
      </w:r>
      <w:r>
        <w:rPr>
          <w:rFonts w:ascii="Times New Roman" w:eastAsia="Times New Roman" w:hAnsi="Times New Roman" w:cs="Times New Roman"/>
        </w:rPr>
        <w:t>2007</w:t>
      </w:r>
      <w:r>
        <w:rPr>
          <w:rFonts w:ascii="SimSun" w:eastAsia="SimSun" w:hAnsi="SimSun" w:cs="SimSun"/>
        </w:rPr>
        <w:t>年，经新疆维吾尔自治区人民政府批准，原乌鲁木齐职业大学与乌鲁木齐成人教育学院合并，组建新的乌鲁木齐职业大学，实行区市共建、以市为主的管理体制。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乌鲁木齐职业大学现有</w:t>
      </w:r>
      <w:r>
        <w:rPr>
          <w:rFonts w:ascii="Times New Roman" w:eastAsia="Times New Roman" w:hAnsi="Times New Roman" w:cs="Times New Roman"/>
        </w:rPr>
        <w:t>5</w:t>
      </w:r>
      <w:r>
        <w:rPr>
          <w:rFonts w:ascii="SimSun" w:eastAsia="SimSun" w:hAnsi="SimSun" w:cs="SimSun"/>
        </w:rPr>
        <w:t>个校区，占地</w:t>
      </w:r>
      <w:r>
        <w:rPr>
          <w:rFonts w:ascii="Times New Roman" w:eastAsia="Times New Roman" w:hAnsi="Times New Roman" w:cs="Times New Roman"/>
        </w:rPr>
        <w:t>2109.5</w:t>
      </w:r>
      <w:r>
        <w:rPr>
          <w:rFonts w:ascii="SimSun" w:eastAsia="SimSun" w:hAnsi="SimSun" w:cs="SimSun"/>
        </w:rPr>
        <w:t>亩。学校总资产</w:t>
      </w:r>
      <w:r>
        <w:rPr>
          <w:rFonts w:ascii="Times New Roman" w:eastAsia="Times New Roman" w:hAnsi="Times New Roman" w:cs="Times New Roman"/>
        </w:rPr>
        <w:t>7</w:t>
      </w:r>
      <w:r>
        <w:rPr>
          <w:rFonts w:ascii="SimSun" w:eastAsia="SimSun" w:hAnsi="SimSun" w:cs="SimSun"/>
        </w:rPr>
        <w:t>亿元，拥有</w:t>
      </w:r>
      <w:r>
        <w:rPr>
          <w:rFonts w:ascii="Times New Roman" w:eastAsia="Times New Roman" w:hAnsi="Times New Roman" w:cs="Times New Roman"/>
        </w:rPr>
        <w:t>224</w:t>
      </w:r>
      <w:r>
        <w:rPr>
          <w:rFonts w:ascii="SimSun" w:eastAsia="SimSun" w:hAnsi="SimSun" w:cs="SimSun"/>
        </w:rPr>
        <w:t>个校内实验</w:t>
      </w:r>
      <w:r>
        <w:rPr>
          <w:rFonts w:ascii="Times New Roman" w:eastAsia="Times New Roman" w:hAnsi="Times New Roman" w:cs="Times New Roman"/>
        </w:rPr>
        <w:t>(</w:t>
      </w:r>
      <w:r>
        <w:rPr>
          <w:rFonts w:ascii="SimSun" w:eastAsia="SimSun" w:hAnsi="SimSun" w:cs="SimSun"/>
        </w:rPr>
        <w:t>实训</w:t>
      </w:r>
      <w:r>
        <w:rPr>
          <w:rFonts w:ascii="Times New Roman" w:eastAsia="Times New Roman" w:hAnsi="Times New Roman" w:cs="Times New Roman"/>
        </w:rPr>
        <w:t>)</w:t>
      </w:r>
      <w:r>
        <w:rPr>
          <w:rFonts w:ascii="SimSun" w:eastAsia="SimSun" w:hAnsi="SimSun" w:cs="SimSun"/>
        </w:rPr>
        <w:t>室和</w:t>
      </w:r>
      <w:r>
        <w:rPr>
          <w:rFonts w:ascii="Times New Roman" w:eastAsia="Times New Roman" w:hAnsi="Times New Roman" w:cs="Times New Roman"/>
        </w:rPr>
        <w:t>259</w:t>
      </w:r>
      <w:r>
        <w:rPr>
          <w:rFonts w:ascii="SimSun" w:eastAsia="SimSun" w:hAnsi="SimSun" w:cs="SimSun"/>
        </w:rPr>
        <w:t>个校外实习实训基地，其中教学科研仪器设备总值</w:t>
      </w:r>
      <w:r>
        <w:rPr>
          <w:rFonts w:ascii="Times New Roman" w:eastAsia="Times New Roman" w:hAnsi="Times New Roman" w:cs="Times New Roman"/>
        </w:rPr>
        <w:t>1.03</w:t>
      </w:r>
      <w:r>
        <w:rPr>
          <w:rFonts w:ascii="SimSun" w:eastAsia="SimSun" w:hAnsi="SimSun" w:cs="SimSun"/>
        </w:rPr>
        <w:t>亿元，图书馆各类藏书（含电子图书）</w:t>
      </w:r>
      <w:r>
        <w:rPr>
          <w:rFonts w:ascii="Times New Roman" w:eastAsia="Times New Roman" w:hAnsi="Times New Roman" w:cs="Times New Roman"/>
        </w:rPr>
        <w:t>95</w:t>
      </w:r>
      <w:r>
        <w:rPr>
          <w:rFonts w:ascii="SimSun" w:eastAsia="SimSun" w:hAnsi="SimSun" w:cs="SimSun"/>
        </w:rPr>
        <w:t>万余册。学校设有经济贸易学院等</w:t>
      </w:r>
      <w:r>
        <w:rPr>
          <w:rFonts w:ascii="Times New Roman" w:eastAsia="Times New Roman" w:hAnsi="Times New Roman" w:cs="Times New Roman"/>
        </w:rPr>
        <w:t>16</w:t>
      </w:r>
      <w:r>
        <w:rPr>
          <w:rFonts w:ascii="SimSun" w:eastAsia="SimSun" w:hAnsi="SimSun" w:cs="SimSun"/>
        </w:rPr>
        <w:t>个教学单位和</w:t>
      </w:r>
      <w:r>
        <w:rPr>
          <w:rFonts w:ascii="Times New Roman" w:eastAsia="Times New Roman" w:hAnsi="Times New Roman" w:cs="Times New Roman"/>
        </w:rPr>
        <w:t>1</w:t>
      </w:r>
      <w:r>
        <w:rPr>
          <w:rFonts w:ascii="SimSun" w:eastAsia="SimSun" w:hAnsi="SimSun" w:cs="SimSun"/>
        </w:rPr>
        <w:t>个国际合作办学机构。在编教职工</w:t>
      </w:r>
      <w:r>
        <w:rPr>
          <w:rFonts w:ascii="Times New Roman" w:eastAsia="Times New Roman" w:hAnsi="Times New Roman" w:cs="Times New Roman"/>
        </w:rPr>
        <w:t>710</w:t>
      </w:r>
      <w:r>
        <w:rPr>
          <w:rFonts w:ascii="SimSun" w:eastAsia="SimSun" w:hAnsi="SimSun" w:cs="SimSun"/>
        </w:rPr>
        <w:t>人，其中专任教师</w:t>
      </w:r>
      <w:r>
        <w:rPr>
          <w:rFonts w:ascii="Times New Roman" w:eastAsia="Times New Roman" w:hAnsi="Times New Roman" w:cs="Times New Roman"/>
        </w:rPr>
        <w:t>473</w:t>
      </w:r>
      <w:r>
        <w:rPr>
          <w:rFonts w:ascii="SimSun" w:eastAsia="SimSun" w:hAnsi="SimSun" w:cs="SimSun"/>
        </w:rPr>
        <w:t>人，副教授以上职称教师占教师总数的</w:t>
      </w:r>
      <w:r>
        <w:rPr>
          <w:rFonts w:ascii="Times New Roman" w:eastAsia="Times New Roman" w:hAnsi="Times New Roman" w:cs="Times New Roman"/>
        </w:rPr>
        <w:t>32%</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双师</w:t>
      </w:r>
      <w:r>
        <w:rPr>
          <w:rFonts w:ascii="Times New Roman" w:eastAsia="Times New Roman" w:hAnsi="Times New Roman" w:cs="Times New Roman"/>
        </w:rPr>
        <w:t>”</w:t>
      </w:r>
      <w:r>
        <w:rPr>
          <w:rFonts w:ascii="SimSun" w:eastAsia="SimSun" w:hAnsi="SimSun" w:cs="SimSun"/>
        </w:rPr>
        <w:t>教师比例为</w:t>
      </w:r>
      <w:r>
        <w:rPr>
          <w:rFonts w:ascii="Times New Roman" w:eastAsia="Times New Roman" w:hAnsi="Times New Roman" w:cs="Times New Roman"/>
        </w:rPr>
        <w:t>88.47%</w:t>
      </w:r>
      <w:r>
        <w:rPr>
          <w:rFonts w:ascii="SimSun" w:eastAsia="SimSun" w:hAnsi="SimSun" w:cs="SimSun"/>
        </w:rPr>
        <w:t>，硕博比为</w:t>
      </w:r>
      <w:r>
        <w:rPr>
          <w:rFonts w:ascii="Times New Roman" w:eastAsia="Times New Roman" w:hAnsi="Times New Roman" w:cs="Times New Roman"/>
        </w:rPr>
        <w:t>56.7%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学校目前开设</w:t>
      </w:r>
      <w:r>
        <w:rPr>
          <w:rFonts w:ascii="Times New Roman" w:eastAsia="Times New Roman" w:hAnsi="Times New Roman" w:cs="Times New Roman"/>
        </w:rPr>
        <w:t>57</w:t>
      </w:r>
      <w:r>
        <w:rPr>
          <w:rFonts w:ascii="SimSun" w:eastAsia="SimSun" w:hAnsi="SimSun" w:cs="SimSun"/>
        </w:rPr>
        <w:t>个专业，包括国家骨干高职院校重点建设专业</w:t>
      </w:r>
      <w:r>
        <w:rPr>
          <w:rFonts w:ascii="Times New Roman" w:eastAsia="Times New Roman" w:hAnsi="Times New Roman" w:cs="Times New Roman"/>
        </w:rPr>
        <w:t>5</w:t>
      </w:r>
      <w:r>
        <w:rPr>
          <w:rFonts w:ascii="SimSun" w:eastAsia="SimSun" w:hAnsi="SimSun" w:cs="SimSun"/>
        </w:rPr>
        <w:t>个，中央财政专项支持重点建设专业</w:t>
      </w:r>
      <w:r>
        <w:rPr>
          <w:rFonts w:ascii="Times New Roman" w:eastAsia="Times New Roman" w:hAnsi="Times New Roman" w:cs="Times New Roman"/>
        </w:rPr>
        <w:t>4</w:t>
      </w:r>
      <w:r>
        <w:rPr>
          <w:rFonts w:ascii="SimSun" w:eastAsia="SimSun" w:hAnsi="SimSun" w:cs="SimSun"/>
        </w:rPr>
        <w:t>个，中央财政支持服务产业能力建设专业</w:t>
      </w:r>
      <w:r>
        <w:rPr>
          <w:rFonts w:ascii="Times New Roman" w:eastAsia="Times New Roman" w:hAnsi="Times New Roman" w:cs="Times New Roman"/>
        </w:rPr>
        <w:t>2</w:t>
      </w:r>
      <w:r>
        <w:rPr>
          <w:rFonts w:ascii="SimSun" w:eastAsia="SimSun" w:hAnsi="SimSun" w:cs="SimSun"/>
        </w:rPr>
        <w:t>个，自治区示范校重点建设专业</w:t>
      </w:r>
      <w:r>
        <w:rPr>
          <w:rFonts w:ascii="Times New Roman" w:eastAsia="Times New Roman" w:hAnsi="Times New Roman" w:cs="Times New Roman"/>
        </w:rPr>
        <w:t>4</w:t>
      </w:r>
      <w:r>
        <w:rPr>
          <w:rFonts w:ascii="SimSun" w:eastAsia="SimSun" w:hAnsi="SimSun" w:cs="SimSun"/>
        </w:rPr>
        <w:t>个，自治区特色专业</w:t>
      </w:r>
      <w:r>
        <w:rPr>
          <w:rFonts w:ascii="Times New Roman" w:eastAsia="Times New Roman" w:hAnsi="Times New Roman" w:cs="Times New Roman"/>
        </w:rPr>
        <w:t>10</w:t>
      </w:r>
      <w:r>
        <w:rPr>
          <w:rFonts w:ascii="SimSun" w:eastAsia="SimSun" w:hAnsi="SimSun" w:cs="SimSun"/>
        </w:rPr>
        <w:t>个。学校生源质量和就业率始终保持良好态势，毕业生</w:t>
      </w:r>
      <w:r>
        <w:rPr>
          <w:rFonts w:ascii="Times New Roman" w:eastAsia="Times New Roman" w:hAnsi="Times New Roman" w:cs="Times New Roman"/>
        </w:rPr>
        <w:t>“</w:t>
      </w:r>
      <w:r>
        <w:rPr>
          <w:rFonts w:ascii="SimSun" w:eastAsia="SimSun" w:hAnsi="SimSun" w:cs="SimSun"/>
        </w:rPr>
        <w:t>双证书</w:t>
      </w:r>
      <w:r>
        <w:rPr>
          <w:rFonts w:ascii="Times New Roman" w:eastAsia="Times New Roman" w:hAnsi="Times New Roman" w:cs="Times New Roman"/>
        </w:rPr>
        <w:t>”</w:t>
      </w:r>
      <w:r>
        <w:rPr>
          <w:rFonts w:ascii="SimSun" w:eastAsia="SimSun" w:hAnsi="SimSun" w:cs="SimSun"/>
        </w:rPr>
        <w:t>率达到</w:t>
      </w:r>
      <w:r>
        <w:rPr>
          <w:rFonts w:ascii="Times New Roman" w:eastAsia="Times New Roman" w:hAnsi="Times New Roman" w:cs="Times New Roman"/>
        </w:rPr>
        <w:t>90%</w:t>
      </w:r>
      <w:r>
        <w:rPr>
          <w:rFonts w:ascii="SimSun" w:eastAsia="SimSun" w:hAnsi="SimSun" w:cs="SimSun"/>
        </w:rPr>
        <w:t>，就业率一直稳定在</w:t>
      </w:r>
      <w:r>
        <w:rPr>
          <w:rFonts w:ascii="Times New Roman" w:eastAsia="Times New Roman" w:hAnsi="Times New Roman" w:cs="Times New Roman"/>
        </w:rPr>
        <w:t>95%</w:t>
      </w:r>
      <w:r>
        <w:rPr>
          <w:rFonts w:ascii="SimSun" w:eastAsia="SimSun" w:hAnsi="SimSun" w:cs="SimSun"/>
        </w:rPr>
        <w:t>左右。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学校现已成为新疆现代服务业技术技能人才培养的龙头高职院校，是国家示范性骨干高职院校、自治区示范性高职院校、自治区第三产业（现代服务业）职教园区理事长单位和乌鲁木齐职教集团龙头高职院校。</w:t>
      </w:r>
      <w:r>
        <w:rPr>
          <w:rFonts w:ascii="Times New Roman" w:eastAsia="Times New Roman" w:hAnsi="Times New Roman" w:cs="Times New Roman"/>
        </w:rPr>
        <w:t>2015</w:t>
      </w:r>
      <w:r>
        <w:rPr>
          <w:rFonts w:ascii="SimSun" w:eastAsia="SimSun" w:hAnsi="SimSun" w:cs="SimSun"/>
        </w:rPr>
        <w:t>年成为文化部首批非物质文化遗产培训试点院校。自治区首个大学生（高职）就业创业实训（孵化）基地建设单位，孵化基地现已获得乌鲁木齐市、自治区和国家三级</w:t>
      </w:r>
      <w:r>
        <w:rPr>
          <w:rFonts w:ascii="Times New Roman" w:eastAsia="Times New Roman" w:hAnsi="Times New Roman" w:cs="Times New Roman"/>
        </w:rPr>
        <w:t>“</w:t>
      </w:r>
      <w:r>
        <w:rPr>
          <w:rFonts w:ascii="SimSun" w:eastAsia="SimSun" w:hAnsi="SimSun" w:cs="SimSun"/>
        </w:rPr>
        <w:t>创客空间</w:t>
      </w:r>
      <w:r>
        <w:rPr>
          <w:rFonts w:ascii="Times New Roman" w:eastAsia="Times New Roman" w:hAnsi="Times New Roman" w:cs="Times New Roman"/>
        </w:rPr>
        <w:t>”</w:t>
      </w:r>
      <w:r>
        <w:rPr>
          <w:rFonts w:ascii="SimSun" w:eastAsia="SimSun" w:hAnsi="SimSun" w:cs="SimSun"/>
        </w:rPr>
        <w:t>授牌。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学校与新加坡</w:t>
      </w:r>
      <w:r>
        <w:rPr>
          <w:rFonts w:ascii="Times New Roman" w:eastAsia="Times New Roman" w:hAnsi="Times New Roman" w:cs="Times New Roman"/>
        </w:rPr>
        <w:t>PSB</w:t>
      </w:r>
      <w:r>
        <w:rPr>
          <w:rFonts w:ascii="SimSun" w:eastAsia="SimSun" w:hAnsi="SimSun" w:cs="SimSun"/>
        </w:rPr>
        <w:t>学院开展中外合作办学，开设有物流管理、酒店管理、电气自动化、机械制造与自动化四个专业。与俄罗斯联邦鄂木斯克州陀思妥耶夫斯基国立大学互建</w:t>
      </w:r>
      <w:r>
        <w:rPr>
          <w:rFonts w:ascii="Times New Roman" w:eastAsia="Times New Roman" w:hAnsi="Times New Roman" w:cs="Times New Roman"/>
        </w:rPr>
        <w:t>“</w:t>
      </w:r>
      <w:r>
        <w:rPr>
          <w:rFonts w:ascii="SimSun" w:eastAsia="SimSun" w:hAnsi="SimSun" w:cs="SimSun"/>
        </w:rPr>
        <w:t>文化中心</w:t>
      </w:r>
      <w:r>
        <w:rPr>
          <w:rFonts w:ascii="Times New Roman" w:eastAsia="Times New Roman" w:hAnsi="Times New Roman" w:cs="Times New Roman"/>
        </w:rPr>
        <w:t>”</w:t>
      </w:r>
      <w:r>
        <w:rPr>
          <w:rFonts w:ascii="SimSun" w:eastAsia="SimSun" w:hAnsi="SimSun" w:cs="SimSun"/>
        </w:rPr>
        <w:t>，实现教师、学生互派。与同济大学、湖北大学、广东轻工职业技术学院等国内高等院校建立了深度合作关系。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学校成立由学校领导和相关职能部门、学院负责人、教师和学生代表组成的招生工作委员会，负责贯彻执行教育部、自治区有关招生工作政策，负责制定招生章程、实施细则、确定招生规模，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第五条学校招生委员会下设招生办公室，招生办公室在学校招生委员会的领导下开展招生的具体工作，并接受学校纪检委的全程监督。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学校根据发展规划、办学条件、专业设置、生源状况和社会需求，制定</w:t>
      </w:r>
      <w:r>
        <w:rPr>
          <w:rFonts w:ascii="Times New Roman" w:eastAsia="Times New Roman" w:hAnsi="Times New Roman" w:cs="Times New Roman"/>
        </w:rPr>
        <w:t>2019</w:t>
      </w:r>
      <w:r>
        <w:rPr>
          <w:rFonts w:ascii="SimSun" w:eastAsia="SimSun" w:hAnsi="SimSun" w:cs="SimSun"/>
        </w:rPr>
        <w:t>年度面向全国</w:t>
      </w:r>
      <w:r>
        <w:rPr>
          <w:rFonts w:ascii="Times New Roman" w:eastAsia="Times New Roman" w:hAnsi="Times New Roman" w:cs="Times New Roman"/>
        </w:rPr>
        <w:t>10</w:t>
      </w:r>
      <w:r>
        <w:rPr>
          <w:rFonts w:ascii="SimSun" w:eastAsia="SimSun" w:hAnsi="SimSun" w:cs="SimSun"/>
        </w:rPr>
        <w:t>个省、自治区、直辖市的分专业招生计划。并按照教育部核准下达的具体招生专业、招生人数，在规定时间内寄送到各省、自治区、直辖市招生委员会，向社会公布；同时还将通过其它方式向社会公布。在招生录取过程中，经学校招生委员会同意，并报上级主管部门批准，对生源好、志愿满、录取分数高的省、自治区、直辖市的招生计划在次年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学校所招各专业收费标准详见当年省、自治区、直辖市招生委员会公布的招生计划表或学校下发的当年新生报到须知。如有调整，以新疆物价局当年文件为准。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录取工作遵循公平、公正、公开的原则；执行国家教育部门和各省、自治区、直辖市招生委员会指定的录取政策、以及本章程公布的有关规定；以考生填报的志愿和高考文化课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普通高考专业录取以高考总成绩优先为原则，即先按高分到低分排列，依次按照考生填报的专业志愿顺序录取。在高考总成绩相同情况下，则按单科顺序及分数从高到低排序，优先录取单科成绩高的考生。单科成绩的排列顺序为：普通类、单列类文科考生优先录取语文、文科综合、文科数学分数高的考生；双语类、民语言类文科考生优先录取语文、文科综合、文科数学、民族语文分数高的考生；普通类、单列类理科考生优先录取理科数学、理科综合、语文分数高的考生；双语类、民语言类理科考生优先录取理科数学、理科综合、语文、民族语文分数高的考生；三校生普通类及单列类考生优先录取语文、数学、政治理论分数高的考生；所有志愿都无法满足的，如果服从调剂，将由学校调剂录取到相应专业，不服从调剂的，则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报考我校普通高考文理科各专业的双语类考生数学单科成绩不低于</w:t>
      </w:r>
      <w:r>
        <w:rPr>
          <w:rFonts w:ascii="Times New Roman" w:eastAsia="Times New Roman" w:hAnsi="Times New Roman" w:cs="Times New Roman"/>
        </w:rPr>
        <w:t>15</w:t>
      </w:r>
      <w:r>
        <w:rPr>
          <w:rFonts w:ascii="SimSun" w:eastAsia="SimSun" w:hAnsi="SimSun" w:cs="SimSun"/>
        </w:rPr>
        <w:t>分（含</w:t>
      </w:r>
      <w:r>
        <w:rPr>
          <w:rFonts w:ascii="Times New Roman" w:eastAsia="Times New Roman" w:hAnsi="Times New Roman" w:cs="Times New Roman"/>
        </w:rPr>
        <w:t>15</w:t>
      </w:r>
      <w:r>
        <w:rPr>
          <w:rFonts w:ascii="SimSun" w:eastAsia="SimSun" w:hAnsi="SimSun" w:cs="SimSun"/>
        </w:rPr>
        <w:t>分），普通类、单列类、民语言类文理科各专业考生数学单科成绩不低于</w:t>
      </w:r>
      <w:r>
        <w:rPr>
          <w:rFonts w:ascii="Times New Roman" w:eastAsia="Times New Roman" w:hAnsi="Times New Roman" w:cs="Times New Roman"/>
        </w:rPr>
        <w:t>20</w:t>
      </w:r>
      <w:r>
        <w:rPr>
          <w:rFonts w:ascii="SimSun" w:eastAsia="SimSun" w:hAnsi="SimSun" w:cs="SimSun"/>
        </w:rPr>
        <w:t>分（含</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与本科院校联合培养（</w:t>
      </w:r>
      <w:r>
        <w:rPr>
          <w:rFonts w:ascii="Times New Roman" w:eastAsia="Times New Roman" w:hAnsi="Times New Roman" w:cs="Times New Roman"/>
        </w:rPr>
        <w:t>3+2</w:t>
      </w:r>
      <w:r>
        <w:rPr>
          <w:rFonts w:ascii="SimSun" w:eastAsia="SimSun" w:hAnsi="SimSun" w:cs="SimSun"/>
        </w:rPr>
        <w:t>）应用型本科人才专业</w:t>
      </w:r>
      <w:r>
        <w:rPr>
          <w:rFonts w:ascii="Times New Roman" w:eastAsia="Times New Roman" w:hAnsi="Times New Roman" w:cs="Times New Roman"/>
        </w:rPr>
        <w:t>“</w:t>
      </w:r>
      <w:r>
        <w:rPr>
          <w:rFonts w:ascii="SimSun" w:eastAsia="SimSun" w:hAnsi="SimSun" w:cs="SimSun"/>
        </w:rPr>
        <w:t>只录有专业志愿的考生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单独招生、直升专的录取分别按照乌鲁木齐职业大学</w:t>
      </w:r>
      <w:r>
        <w:rPr>
          <w:rFonts w:ascii="Times New Roman" w:eastAsia="Times New Roman" w:hAnsi="Times New Roman" w:cs="Times New Roman"/>
        </w:rPr>
        <w:t>2019</w:t>
      </w:r>
      <w:r>
        <w:rPr>
          <w:rFonts w:ascii="SimSun" w:eastAsia="SimSun" w:hAnsi="SimSun" w:cs="SimSun"/>
        </w:rPr>
        <w:t>年单独招生考试实施方案、直升专实施方案中相关要求执行。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单独招生、优秀中职毕业生直升高职（专科）、三校生考生不得申请转学、调整专业，学籍注册及毕业证发放按照教育部、自治区教育厅及我校有关规定执行。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学校对享受政策加分考生的录取，按照教育部规定的实行属地化管理的原则，执行考生所在省、自治区、直辖市招生委员会制定的加分政策和录取规定，投档按加分录取，按考分录取专业。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双语类考生入校后，将进行国家通用语言水平测试，测试达不到专业学习标准的学生将进行为期一年的预科学习。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报考我校音乐类、美术类专业的考生在音乐类、美术类专业统考成绩合格的前提下，按考生文化课成绩从高分到低分顺序录取。如出现文化课成绩相同情况下，优先录取专业成绩高的考生。美术教育、艺术设计、广告设计与制作、工艺美术品设计等专业须有自治区美术类专业统考合格证。音乐教育、音乐制作专业须有自治区音乐类专业统考合格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《空中乘务》专业考生须获得我校专业面试合格证。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第十八条学校执行教育部、卫生部、中国残疾人联合会颁布的《普通高等学校招生体检工作指导意愿》。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入学与注册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按照国家招生规定录取的新生，须持我校录取通知书和相关身份证件，按照学校规定的期限到校办理报到入学手续。因病或其他特殊原因，不能按期报到者，应当以书面形式向学校招生就业处和学生工作部申请延期报到（延期不得超过两周），经批准后方可有效。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学校在报到时对新生入学资格进行初审，审查合格的办理入学手续；审查发现新生的录取通知书、考生信息等证明材料，与本人实际情况不符，或者有其他违反国家招生考试规定情形的，取消入学资格。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录取的新生因应征入伍或身体原因不能报到入校的，可以申请保留入学资格。保留入学资格期间不具有学籍。保留入学资格的条件、期限等按照《乌鲁木齐职业大学学生管理规定》相关条款执行，保留入学资格手续须在新生报到一周内办理完毕，未按要求办理保留入学资格手续者，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新生保留入学资格期满前应向学校申请入学，经学校审查合格后，办理入学手续。审查不合格的，取消入学资格；逾期不办理入学手续且未有因不可抗力延迟等正当理由的，视为放弃入学资格。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学生入学后，学校将在</w:t>
      </w:r>
      <w:r>
        <w:rPr>
          <w:rFonts w:ascii="Times New Roman" w:eastAsia="Times New Roman" w:hAnsi="Times New Roman" w:cs="Times New Roman"/>
        </w:rPr>
        <w:t>3</w:t>
      </w:r>
      <w:r>
        <w:rPr>
          <w:rFonts w:ascii="SimSun" w:eastAsia="SimSun" w:hAnsi="SimSun" w:cs="SimSun"/>
        </w:rPr>
        <w:t>个月内按照国家招生规定对新生入学资格进行复查。复查中发现学生存在弄虚作假、徇私舞弊等情形的，确定为复查不合格，将取消学籍；情节严重的，学校将移交有关部门调查处理。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家庭经济困难的学生可以申请助学贷款或者其他形式资助，办理有关手续后注册。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毕业与结业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学生在学校规定的学习年限内，修完教育教学计划规定内容且成绩合格，德、智、体、美、劳达到毕业要求，准予毕业。具体办法按照学校</w:t>
      </w:r>
      <w:r>
        <w:rPr>
          <w:rFonts w:ascii="Times New Roman" w:eastAsia="Times New Roman" w:hAnsi="Times New Roman" w:cs="Times New Roman"/>
        </w:rPr>
        <w:t>“</w:t>
      </w:r>
      <w:r>
        <w:rPr>
          <w:rFonts w:ascii="SimSun" w:eastAsia="SimSun" w:hAnsi="SimSun" w:cs="SimSun"/>
        </w:rPr>
        <w:t>双证书</w:t>
      </w:r>
      <w:r>
        <w:rPr>
          <w:rFonts w:ascii="Times New Roman" w:eastAsia="Times New Roman" w:hAnsi="Times New Roman" w:cs="Times New Roman"/>
        </w:rPr>
        <w:t>”</w:t>
      </w:r>
      <w:r>
        <w:rPr>
          <w:rFonts w:ascii="SimSun" w:eastAsia="SimSun" w:hAnsi="SimSun" w:cs="SimSun"/>
        </w:rPr>
        <w:t>制度管理规定执行。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在学校规定的学习年限内，修完教育教学计划规定内容，未达到毕业要求的，准予结业，由学校发给结业证书。结业后可以补考、重修或者补做毕业设计、论文、答辩，成绩合格后颁发毕业证书，具体办法按照学校学生管理实施细则中的相关规定执行。对合格后颁发的毕业证书，毕业时间按发证日期填写。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新生入学注册后，学校依据教育部颁布的《普通高等学校学生管理规定》精神，严格执行《乌鲁木齐职业大学学生手册》中一系列规章制度进行管理；教学上严格按照教育部制定的高职高专教学大纲制定教学计划，有步骤地对学生实施全面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设立多种形式的奖、助学金，包括：国家奖学金、国家励志奖学金、国家助学金、自治区人民政府高校助学金、自治区人民政府高校励志奖学金，学校奖学金以及生源地国家助学贷款等资助方式，并为经济困难学生在校内设立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学校对学生实行人格培养工程，开设就业指导、就业生涯规划等课程，开设大学生心理健康教育、诚信教育等，使大学生得到全面发展。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院部分专业优秀毕业生可通过相关考试升入本科院校相近专业继续学习两年，成绩合格，可取得本科院校毕业证书和本科院校学位证书。相关政策参照关于印发《自治区普通高等教育优秀专科生直升本科选拔及管理办法》的通知（新教高【</w:t>
      </w:r>
      <w:r>
        <w:rPr>
          <w:rFonts w:ascii="Times New Roman" w:eastAsia="Times New Roman" w:hAnsi="Times New Roman" w:cs="Times New Roman"/>
        </w:rPr>
        <w:t>2012</w:t>
      </w:r>
      <w:r>
        <w:rPr>
          <w:rFonts w:ascii="SimSun" w:eastAsia="SimSun" w:hAnsi="SimSun" w:cs="SimSun"/>
        </w:rPr>
        <w:t>】</w:t>
      </w:r>
      <w:r>
        <w:rPr>
          <w:rFonts w:ascii="Times New Roman" w:eastAsia="Times New Roman" w:hAnsi="Times New Roman" w:cs="Times New Roman"/>
        </w:rPr>
        <w:t>9</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第八章</w:t>
      </w:r>
      <w:r>
        <w:rPr>
          <w:rFonts w:ascii="Times New Roman" w:eastAsia="Times New Roman" w:hAnsi="Times New Roman" w:cs="Times New Roman"/>
        </w:rPr>
        <w:t>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本章程适用于学校普通高职专科招生工作。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本章程经学校招生委员会审议通过，并报上级教育主管部门审核。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本章程自公布起开始执行。凡学校之前出台的有关招生政策、规定与本章程不一致的，均以本章程规定为准。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本章程由学校招生办公室负责解释，在招生咨询期间本校咨询人员的意见、建议仅作为考生填报志愿的参考，不属学校录取承诺，政策以文字表述为准。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录取结果公布渠道：录取结果通过自治区教育考试院网站、咨询电话、学校邮寄录取通知书公布。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//www.uvu.edu.cn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0991—8825404</w:t>
      </w:r>
      <w:r>
        <w:rPr>
          <w:rFonts w:ascii="SimSun" w:eastAsia="SimSun" w:hAnsi="SimSun" w:cs="SimSun"/>
        </w:rPr>
        <w:t>、</w:t>
      </w:r>
      <w:r>
        <w:rPr>
          <w:rFonts w:ascii="Times New Roman" w:eastAsia="Times New Roman" w:hAnsi="Times New Roman" w:cs="Times New Roman"/>
        </w:rPr>
        <w:t xml:space="preserve">2605249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0991—8833075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地址：乌鲁木齐市幸福路</w:t>
      </w:r>
      <w:r>
        <w:rPr>
          <w:rFonts w:ascii="Times New Roman" w:eastAsia="Times New Roman" w:hAnsi="Times New Roman" w:cs="Times New Roman"/>
        </w:rPr>
        <w:t>723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830001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克拉玛依职业技术学院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新疆农业职业技术学院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乌鲁木齐开放大学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年春秋季招生简章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41.html" TargetMode="External" /><Relationship Id="rId11" Type="http://schemas.openxmlformats.org/officeDocument/2006/relationships/hyperlink" Target="http://www.gk114.com/a/gxzs/zszc/xinjiang/2021/0615/19940.html" TargetMode="External" /><Relationship Id="rId12" Type="http://schemas.openxmlformats.org/officeDocument/2006/relationships/hyperlink" Target="http://www.gk114.com/a/gxzs/zszc/xinjiang/2021/0615/19939.html" TargetMode="External" /><Relationship Id="rId13" Type="http://schemas.openxmlformats.org/officeDocument/2006/relationships/hyperlink" Target="http://www.gk114.com/a/gxzs/zszc/xinjiang/2021/0615/19937.html" TargetMode="External" /><Relationship Id="rId14" Type="http://schemas.openxmlformats.org/officeDocument/2006/relationships/hyperlink" Target="http://www.gk114.com/a/gxzs/zszc/xinjiang/2021/0615/19936.html" TargetMode="External" /><Relationship Id="rId15" Type="http://schemas.openxmlformats.org/officeDocument/2006/relationships/hyperlink" Target="http://www.gk114.com/a/gxzs/zszc/xinjiang/2021/0615/19933.html" TargetMode="External" /><Relationship Id="rId16" Type="http://schemas.openxmlformats.org/officeDocument/2006/relationships/hyperlink" Target="http://www.gk114.com/a/gxzs/zszc/xinjiang/2021/0615/1993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35.html" TargetMode="External" /><Relationship Id="rId5" Type="http://schemas.openxmlformats.org/officeDocument/2006/relationships/hyperlink" Target="http://www.gk114.com/a/gxzs/zszc/xinjiang/2019/0607/9537.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4.html" TargetMode="External" /><Relationship Id="rId8" Type="http://schemas.openxmlformats.org/officeDocument/2006/relationships/hyperlink" Target="http://www.gk114.com/a/gxzs/zszc/xinjiang/2022/0311/21853.html" TargetMode="External" /><Relationship Id="rId9" Type="http://schemas.openxmlformats.org/officeDocument/2006/relationships/hyperlink" Target="http://www.gk114.com/a/gxzs/zszc/xinjiang/2022/0220/217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