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乌鲁木齐职业大学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年成人招生简章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2022-03-11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ind w:left="0" w:right="0" w:firstLine="6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乌鲁木齐职业大学成立于</w:t>
      </w:r>
      <w:r>
        <w:rPr>
          <w:color w:val="000000"/>
          <w:sz w:val="32"/>
          <w:szCs w:val="32"/>
        </w:rPr>
        <w:t>1985</w:t>
      </w:r>
      <w:r>
        <w:rPr>
          <w:rFonts w:ascii="方正仿宋_gbk" w:eastAsia="方正仿宋_gbk" w:hAnsi="方正仿宋_gbk" w:cs="方正仿宋_gbk"/>
          <w:color w:val="000000"/>
          <w:sz w:val="32"/>
          <w:szCs w:val="32"/>
        </w:rPr>
        <w:t>年，是乌鲁木齐市属唯一一所综合性全日制高等职业院校。学校为国家示范性骨干高职院校、自治区第三产业（现代服务业）职教园区理事长单位、新疆旅游教育联盟理事长和秘书长单位、乌鲁木齐职教集团龙头高职院校。</w:t>
      </w:r>
      <w:r>
        <w:rPr>
          <w:color w:val="000000"/>
          <w:sz w:val="32"/>
          <w:szCs w:val="32"/>
        </w:rPr>
        <w:t>2016</w:t>
      </w:r>
      <w:r>
        <w:rPr>
          <w:rFonts w:ascii="方正仿宋_gbk" w:eastAsia="方正仿宋_gbk" w:hAnsi="方正仿宋_gbk" w:cs="方正仿宋_gbk"/>
          <w:color w:val="000000"/>
          <w:sz w:val="32"/>
          <w:szCs w:val="32"/>
        </w:rPr>
        <w:t>年入选全国“服务贡献</w:t>
      </w:r>
      <w:r>
        <w:rPr>
          <w:color w:val="000000"/>
          <w:sz w:val="32"/>
          <w:szCs w:val="32"/>
        </w:rPr>
        <w:t>50</w:t>
      </w:r>
      <w:r>
        <w:rPr>
          <w:rFonts w:ascii="方正仿宋_gbk" w:eastAsia="方正仿宋_gbk" w:hAnsi="方正仿宋_gbk" w:cs="方正仿宋_gbk"/>
          <w:color w:val="000000"/>
          <w:sz w:val="32"/>
          <w:szCs w:val="32"/>
        </w:rPr>
        <w:t>强”高职院校。</w:t>
      </w:r>
    </w:p>
    <w:p>
      <w:pPr>
        <w:pBdr>
          <w:top w:val="none" w:sz="0" w:space="0" w:color="auto"/>
          <w:left w:val="none" w:sz="0" w:space="0" w:color="auto"/>
          <w:bottom w:val="none" w:sz="0" w:space="0" w:color="auto"/>
          <w:right w:val="none" w:sz="0" w:space="0" w:color="auto"/>
        </w:pBdr>
        <w:spacing w:before="0" w:after="0"/>
        <w:ind w:left="0" w:right="0" w:firstLine="6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学院是服务学校职业教育与培训办学功能的有机体，是学校服务社会的窗口。致力于高质量开展多种形式成人学历教育与多种类别职业培训，为学习型社会建设和促进人的全面发展贡献力量。</w:t>
      </w:r>
    </w:p>
    <w:p>
      <w:pPr>
        <w:pBdr>
          <w:top w:val="none" w:sz="0" w:space="0" w:color="auto"/>
          <w:left w:val="none" w:sz="0" w:space="0" w:color="auto"/>
          <w:bottom w:val="none" w:sz="0" w:space="0" w:color="auto"/>
          <w:right w:val="none" w:sz="0" w:space="0" w:color="auto"/>
        </w:pBdr>
        <w:spacing w:before="0" w:after="0"/>
        <w:ind w:left="0" w:right="712"/>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方正黑体_gbk" w:eastAsia="方正黑体_gbk" w:hAnsi="方正黑体_gbk" w:cs="方正黑体_gbk"/>
          <w:color w:val="000000"/>
          <w:sz w:val="32"/>
          <w:szCs w:val="32"/>
        </w:rPr>
        <w:t>一、招生专业：</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（一）成人专科招生专业：</w:t>
      </w:r>
    </w:p>
    <w:p>
      <w:pPr>
        <w:pBdr>
          <w:top w:val="none" w:sz="0" w:space="0" w:color="auto"/>
          <w:left w:val="none" w:sz="0" w:space="0" w:color="auto"/>
          <w:bottom w:val="none" w:sz="0" w:space="0" w:color="auto"/>
          <w:right w:val="none" w:sz="0" w:space="0" w:color="auto"/>
        </w:pBdr>
        <w:spacing w:before="0" w:after="0"/>
        <w:ind w:left="0" w:right="0" w:firstLine="9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以下各专业需参加全国成人高考</w:t>
      </w:r>
      <w:r>
        <w:rPr>
          <w:rFonts w:ascii="方正仿宋_gbk" w:eastAsia="方正仿宋_gbk" w:hAnsi="方正仿宋_gbk" w:cs="方正仿宋_gbk"/>
          <w:color w:val="000000"/>
          <w:sz w:val="32"/>
          <w:szCs w:val="32"/>
        </w:rPr>
        <w:t>  </w:t>
      </w:r>
    </w:p>
    <w:p>
      <w:pPr>
        <w:pBdr>
          <w:top w:val="none" w:sz="0" w:space="0" w:color="auto"/>
          <w:left w:val="none" w:sz="0" w:space="0" w:color="auto"/>
          <w:bottom w:val="none" w:sz="0" w:space="0" w:color="auto"/>
          <w:right w:val="none" w:sz="0" w:space="0" w:color="auto"/>
        </w:pBdr>
        <w:spacing w:before="0" w:after="0"/>
        <w:ind w:left="0" w:right="0" w:firstLine="9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学习形式：业余、函授</w:t>
      </w:r>
      <w:r>
        <w:rPr>
          <w:rFonts w:ascii="方正仿宋_gbk" w:eastAsia="方正仿宋_gbk" w:hAnsi="方正仿宋_gbk" w:cs="方正仿宋_gbk"/>
          <w:color w:val="000000"/>
          <w:sz w:val="32"/>
          <w:szCs w:val="32"/>
        </w:rPr>
        <w:t>  学制：</w:t>
      </w:r>
      <w:r>
        <w:rPr>
          <w:color w:val="000000"/>
          <w:sz w:val="32"/>
          <w:szCs w:val="32"/>
        </w:rPr>
        <w:t>2.5</w:t>
      </w:r>
      <w:r>
        <w:rPr>
          <w:rFonts w:ascii="方正仿宋_gbk" w:eastAsia="方正仿宋_gbk" w:hAnsi="方正仿宋_gbk" w:cs="方正仿宋_gbk"/>
          <w:color w:val="000000"/>
          <w:sz w:val="32"/>
          <w:szCs w:val="32"/>
        </w:rPr>
        <w:t>年</w:t>
      </w:r>
    </w:p>
    <w:tbl>
      <w:tblPr>
        <w:tblW w:w="9240" w:type="dxa"/>
        <w:tblInd w:w="16" w:type="dxa"/>
        <w:tblCellMar>
          <w:top w:w="0" w:type="dxa"/>
          <w:left w:w="0" w:type="dxa"/>
          <w:bottom w:w="0" w:type="dxa"/>
          <w:right w:w="0" w:type="dxa"/>
        </w:tblCellMar>
      </w:tblPr>
      <w:tblGrid>
        <w:gridCol w:w="3226"/>
        <w:gridCol w:w="906"/>
        <w:gridCol w:w="888"/>
        <w:gridCol w:w="1069"/>
        <w:gridCol w:w="3152"/>
      </w:tblGrid>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专业名称</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报考类别</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学习形式</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（元</w:t>
            </w:r>
            <w:r>
              <w:rPr>
                <w:rFonts w:ascii="SimSun" w:eastAsia="SimSun" w:hAnsi="SimSun" w:cs="SimSun"/>
                <w:b w:val="0"/>
                <w:bCs w:val="0"/>
                <w:i w:val="0"/>
                <w:iCs w:val="0"/>
                <w:smallCaps w:val="0"/>
                <w:color w:val="000000"/>
                <w:sz w:val="21"/>
                <w:szCs w:val="21"/>
              </w:rPr>
              <w:t>/学年）</w:t>
            </w:r>
          </w:p>
        </w:tc>
        <w:tc>
          <w:tcPr>
            <w:tcW w:w="153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说明</w:t>
            </w: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建筑工程技术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理科</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tcW w:w="153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113" w:right="113"/>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32"/>
                <w:szCs w:val="32"/>
              </w:rPr>
              <w:t>学费按学年收取，共</w:t>
            </w:r>
            <w:r>
              <w:rPr>
                <w:rFonts w:ascii="SimSun" w:eastAsia="SimSun" w:hAnsi="SimSun" w:cs="SimSun"/>
                <w:b w:val="0"/>
                <w:bCs w:val="0"/>
                <w:i w:val="0"/>
                <w:iCs w:val="0"/>
                <w:smallCaps w:val="0"/>
                <w:color w:val="000000"/>
                <w:sz w:val="32"/>
                <w:szCs w:val="32"/>
              </w:rPr>
              <w:t>2.5学年</w:t>
            </w: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工程造价</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电气自动化技术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理科</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大数据技术（原计算机信息管理）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大数据与会计（原会计）</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工商企业管理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学前教育</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小学教育</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社会工作</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人力资源管理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电子商务</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酒店管理与数字化运营</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汽车检测与维修技术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数字媒体技术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现代文秘</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业余</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1900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建筑工程技术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理科</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工程造价</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电气自动化技术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理科</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大数据技术（原计算机信息管理）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大数据与会计（原会计）</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2100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工商企业管理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2100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学前教育</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1900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小学教育</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1900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社会工作</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1900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人力资源管理</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2100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电子商务</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2100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酒店管理与数字化运营</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2100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汽车检测与维修技术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9240" w:type="dxa"/>
          <w:tblInd w:w="16" w:type="dxa"/>
          <w:tblCellMar>
            <w:top w:w="0" w:type="dxa"/>
            <w:left w:w="0" w:type="dxa"/>
            <w:bottom w:w="0" w:type="dxa"/>
            <w:right w:w="0" w:type="dxa"/>
          </w:tblCellMar>
        </w:tblPrEx>
        <w:tc>
          <w:tcPr>
            <w:tcW w:w="32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数字媒体技术</w:t>
            </w:r>
          </w:p>
        </w:tc>
        <w:tc>
          <w:tcPr>
            <w:tcW w:w="145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文理兼</w:t>
            </w:r>
          </w:p>
        </w:tc>
        <w:tc>
          <w:tcPr>
            <w:tcW w:w="14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函授</w:t>
            </w:r>
          </w:p>
        </w:tc>
        <w:tc>
          <w:tcPr>
            <w:tcW w:w="172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2500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xml:space="preserve">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（二）本科（专升本）招生专业：</w:t>
      </w:r>
    </w:p>
    <w:p>
      <w:pPr>
        <w:pBdr>
          <w:top w:val="none" w:sz="0" w:space="0" w:color="auto"/>
          <w:left w:val="none" w:sz="0" w:space="0" w:color="auto"/>
          <w:bottom w:val="none" w:sz="0" w:space="0" w:color="auto"/>
          <w:right w:val="none" w:sz="0" w:space="0" w:color="auto"/>
        </w:pBdr>
        <w:spacing w:before="0" w:after="0"/>
        <w:ind w:left="0" w:right="0" w:firstLine="1097"/>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以下各专业需参加全国成人高考</w:t>
      </w:r>
      <w:r>
        <w:rPr>
          <w:rFonts w:ascii="方正仿宋_gbk" w:eastAsia="方正仿宋_gbk" w:hAnsi="方正仿宋_gbk" w:cs="方正仿宋_gbk"/>
          <w:color w:val="000000"/>
          <w:sz w:val="32"/>
          <w:szCs w:val="32"/>
        </w:rPr>
        <w:t>         </w:t>
      </w:r>
    </w:p>
    <w:p>
      <w:pPr>
        <w:pBdr>
          <w:top w:val="none" w:sz="0" w:space="0" w:color="auto"/>
          <w:left w:val="none" w:sz="0" w:space="0" w:color="auto"/>
          <w:bottom w:val="none" w:sz="0" w:space="0" w:color="auto"/>
          <w:right w:val="none" w:sz="0" w:space="0" w:color="auto"/>
        </w:pBdr>
        <w:spacing w:before="0" w:after="0"/>
        <w:ind w:left="0" w:right="0" w:firstLine="1097"/>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学习形式：函授</w:t>
      </w:r>
      <w:r>
        <w:rPr>
          <w:rFonts w:ascii="方正仿宋_gbk" w:eastAsia="方正仿宋_gbk" w:hAnsi="方正仿宋_gbk" w:cs="方正仿宋_gbk"/>
          <w:color w:val="000000"/>
          <w:sz w:val="32"/>
          <w:szCs w:val="32"/>
        </w:rPr>
        <w:t>    学制：</w:t>
      </w:r>
      <w:r>
        <w:rPr>
          <w:color w:val="000000"/>
          <w:sz w:val="32"/>
          <w:szCs w:val="32"/>
        </w:rPr>
        <w:t>2.5</w:t>
      </w:r>
      <w:r>
        <w:rPr>
          <w:rFonts w:ascii="方正仿宋_gbk" w:eastAsia="方正仿宋_gbk" w:hAnsi="方正仿宋_gbk" w:cs="方正仿宋_gbk"/>
          <w:color w:val="000000"/>
          <w:sz w:val="32"/>
          <w:szCs w:val="32"/>
        </w:rPr>
        <w:t>年</w:t>
      </w:r>
    </w:p>
    <w:tbl>
      <w:tblPr>
        <w:tblW w:w="10221" w:type="dxa"/>
        <w:tblInd w:w="124" w:type="dxa"/>
        <w:tblCellMar>
          <w:top w:w="0" w:type="dxa"/>
          <w:left w:w="0" w:type="dxa"/>
          <w:bottom w:w="0" w:type="dxa"/>
          <w:right w:w="0" w:type="dxa"/>
        </w:tblCellMar>
      </w:tblPr>
      <w:tblGrid>
        <w:gridCol w:w="2263"/>
        <w:gridCol w:w="2263"/>
        <w:gridCol w:w="1147"/>
        <w:gridCol w:w="1273"/>
        <w:gridCol w:w="3275"/>
      </w:tblGrid>
      <w:tr>
        <w:tblPrEx>
          <w:tblW w:w="10221" w:type="dxa"/>
          <w:tblInd w:w="124" w:type="dxa"/>
          <w:tblCellMar>
            <w:top w:w="0" w:type="dxa"/>
            <w:left w:w="0" w:type="dxa"/>
            <w:bottom w:w="0" w:type="dxa"/>
            <w:right w:w="0" w:type="dxa"/>
          </w:tblCellMar>
        </w:tblPrEx>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院校名称</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专</w:t>
            </w:r>
            <w:r>
              <w:rPr>
                <w:rFonts w:ascii="SimSun" w:eastAsia="SimSun" w:hAnsi="SimSun" w:cs="SimSun"/>
                <w:b w:val="0"/>
                <w:bCs w:val="0"/>
                <w:i w:val="0"/>
                <w:iCs w:val="0"/>
                <w:smallCaps w:val="0"/>
                <w:color w:val="000000"/>
                <w:sz w:val="21"/>
                <w:szCs w:val="21"/>
              </w:rPr>
              <w:t>    业</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学科</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类别</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元</w:t>
            </w:r>
            <w:r>
              <w:rPr>
                <w:rFonts w:ascii="SimSun" w:eastAsia="SimSun" w:hAnsi="SimSun" w:cs="SimSun"/>
                <w:b w:val="0"/>
                <w:bCs w:val="0"/>
                <w:i w:val="0"/>
                <w:iCs w:val="0"/>
                <w:smallCaps w:val="0"/>
                <w:color w:val="000000"/>
                <w:sz w:val="21"/>
                <w:szCs w:val="21"/>
              </w:rPr>
              <w:t>/学年</w:t>
            </w:r>
          </w:p>
        </w:tc>
        <w:tc>
          <w:tcPr>
            <w:tcW w:w="335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说明</w:t>
            </w: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北京科技大学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土木工程</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2200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2.5学年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机械工程</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自动化</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计算机科学与技术</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行政管理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2200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中南财经政法大学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金融学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2900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2.5学年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会计学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工程管理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2900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西南科技大学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1700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2.5学年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会计学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1700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工商管理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1700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土木工程</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四川师范大学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汉语言文学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文史类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1850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2.5学年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教育学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教育类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1850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小学教育</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教育类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1850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学前教育</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教育类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1850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公共事业管理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1850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西南财经大学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会计学</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2600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财务管理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人力资源管理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0"/>
                <w:szCs w:val="20"/>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0"/>
                <w:szCs w:val="20"/>
              </w:rPr>
            </w:pPr>
          </w:p>
        </w:tc>
      </w:tr>
      <w:tr>
        <w:tblPrEx>
          <w:tblW w:w="10221" w:type="dxa"/>
          <w:tblInd w:w="124" w:type="dxa"/>
          <w:tblCellMar>
            <w:top w:w="0" w:type="dxa"/>
            <w:left w:w="0" w:type="dxa"/>
            <w:bottom w:w="0" w:type="dxa"/>
            <w:right w:w="0" w:type="dxa"/>
          </w:tblCellMar>
        </w:tblPrEx>
        <w:tc>
          <w:tcPr>
            <w:tcW w:w="2247"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西安邮电大学</w:t>
            </w: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通信工程</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3300</w:t>
            </w:r>
          </w:p>
        </w:tc>
        <w:tc>
          <w:tcPr>
            <w:tcW w:w="3351"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学费按学年收取，共</w:t>
            </w:r>
            <w:r>
              <w:rPr>
                <w:rFonts w:ascii="SimSun" w:eastAsia="SimSun" w:hAnsi="SimSun" w:cs="SimSun"/>
                <w:b w:val="0"/>
                <w:bCs w:val="0"/>
                <w:i w:val="0"/>
                <w:iCs w:val="0"/>
                <w:smallCaps w:val="0"/>
                <w:color w:val="000000"/>
                <w:sz w:val="21"/>
                <w:szCs w:val="21"/>
              </w:rPr>
              <w:t>2.5学年</w:t>
            </w: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工程管理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工商管理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市场营销</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r>
        <w:tblPrEx>
          <w:tblW w:w="10221" w:type="dxa"/>
          <w:tblInd w:w="124"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247"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物流管理</w:t>
            </w:r>
          </w:p>
        </w:tc>
        <w:tc>
          <w:tcPr>
            <w:tcW w:w="1131"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经济类</w:t>
            </w:r>
          </w:p>
        </w:tc>
        <w:tc>
          <w:tcPr>
            <w:tcW w:w="1275"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2600</w:t>
            </w:r>
          </w:p>
        </w:tc>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方正黑体_gbk" w:eastAsia="方正黑体_gbk" w:hAnsi="方正黑体_gbk" w:cs="方正黑体_gbk"/>
          <w:color w:val="000000"/>
          <w:sz w:val="32"/>
          <w:szCs w:val="32"/>
        </w:rPr>
        <w:t>二、成人高考考试科目</w:t>
      </w:r>
    </w:p>
    <w:tbl>
      <w:tblPr>
        <w:tblW w:w="10473" w:type="dxa"/>
        <w:tblInd w:w="16" w:type="dxa"/>
        <w:tblCellMar>
          <w:top w:w="0" w:type="dxa"/>
          <w:left w:w="0" w:type="dxa"/>
          <w:bottom w:w="0" w:type="dxa"/>
          <w:right w:w="0" w:type="dxa"/>
        </w:tblCellMar>
      </w:tblPr>
      <w:tblGrid>
        <w:gridCol w:w="3518"/>
        <w:gridCol w:w="3518"/>
        <w:gridCol w:w="3436"/>
      </w:tblGrid>
      <w:tr>
        <w:tblPrEx>
          <w:tblW w:w="10473" w:type="dxa"/>
          <w:tblInd w:w="16" w:type="dxa"/>
          <w:tblCellMar>
            <w:top w:w="0" w:type="dxa"/>
            <w:left w:w="0" w:type="dxa"/>
            <w:bottom w:w="0" w:type="dxa"/>
            <w:right w:w="0" w:type="dxa"/>
          </w:tblCellMar>
        </w:tblPrEx>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rPr>
              <w:t>层</w:t>
            </w:r>
            <w:r>
              <w:rPr>
                <w:rFonts w:ascii="SimSun" w:eastAsia="SimSun" w:hAnsi="SimSun" w:cs="SimSun"/>
                <w:b w:val="0"/>
                <w:bCs w:val="0"/>
                <w:i w:val="0"/>
                <w:iCs w:val="0"/>
                <w:smallCaps w:val="0"/>
                <w:color w:val="000000"/>
              </w:rPr>
              <w:t> 次</w:t>
            </w: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rPr>
              <w:t>报考类别</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rPr>
              <w:t>统一命题考试科目</w:t>
            </w:r>
          </w:p>
        </w:tc>
      </w:tr>
      <w:tr>
        <w:tblPrEx>
          <w:tblW w:w="10473" w:type="dxa"/>
          <w:tblInd w:w="16" w:type="dxa"/>
          <w:tblCellMar>
            <w:top w:w="0" w:type="dxa"/>
            <w:left w:w="0" w:type="dxa"/>
            <w:bottom w:w="0" w:type="dxa"/>
            <w:right w:w="0" w:type="dxa"/>
          </w:tblCellMar>
        </w:tblPrEx>
        <w:tc>
          <w:tcPr>
            <w:tcW w:w="201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rPr>
              <w:t>高起专</w:t>
            </w: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理科</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语文、数学（理）、外语</w:t>
            </w:r>
          </w:p>
        </w:tc>
      </w:tr>
      <w:tr>
        <w:tblPrEx>
          <w:tblW w:w="10473" w:type="dxa"/>
          <w:tblInd w:w="16"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文科</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语文、数学（文）、外语</w:t>
            </w:r>
          </w:p>
        </w:tc>
      </w:tr>
      <w:tr>
        <w:tblPrEx>
          <w:tblW w:w="10473" w:type="dxa"/>
          <w:tblInd w:w="16" w:type="dxa"/>
          <w:tblCellMar>
            <w:top w:w="0" w:type="dxa"/>
            <w:left w:w="0" w:type="dxa"/>
            <w:bottom w:w="0" w:type="dxa"/>
            <w:right w:w="0" w:type="dxa"/>
          </w:tblCellMar>
        </w:tblPrEx>
        <w:tc>
          <w:tcPr>
            <w:tcW w:w="2010" w:type="dxa"/>
            <w:vMerge w:val="restart"/>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rPr>
              <w:t>专升本</w:t>
            </w:r>
          </w:p>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教育学类</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政治、英语、教育理论</w:t>
            </w:r>
          </w:p>
        </w:tc>
      </w:tr>
      <w:tr>
        <w:tblPrEx>
          <w:tblW w:w="10473" w:type="dxa"/>
          <w:tblInd w:w="16"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文史类</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政治、英语、大学语文</w:t>
            </w:r>
          </w:p>
        </w:tc>
      </w:tr>
      <w:tr>
        <w:tblPrEx>
          <w:tblW w:w="10473" w:type="dxa"/>
          <w:tblInd w:w="16"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理工类</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政治、英语、高等数学（一）</w:t>
            </w:r>
          </w:p>
        </w:tc>
      </w:tr>
      <w:tr>
        <w:tblPrEx>
          <w:tblW w:w="10473" w:type="dxa"/>
          <w:tblInd w:w="16"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经济管理类</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政治、英语、高等数学（二）</w:t>
            </w:r>
          </w:p>
        </w:tc>
      </w:tr>
      <w:tr>
        <w:tblPrEx>
          <w:tblW w:w="10473" w:type="dxa"/>
          <w:tblInd w:w="16" w:type="dxa"/>
          <w:tblCellMar>
            <w:top w:w="0" w:type="dxa"/>
            <w:left w:w="0" w:type="dxa"/>
            <w:bottom w:w="0" w:type="dxa"/>
            <w:right w:w="0" w:type="dxa"/>
          </w:tblCellMar>
        </w:tblPrEx>
        <w:tc>
          <w:tcPr>
            <w:vMerge/>
            <w:tcBorders>
              <w:top w:val="inset" w:sz="6" w:space="0" w:color="808080"/>
              <w:left w:val="inset" w:sz="6" w:space="0" w:color="808080"/>
              <w:bottom w:val="inset" w:sz="6" w:space="0" w:color="808080"/>
              <w:right w:val="inset" w:sz="6" w:space="0" w:color="808080"/>
            </w:tcBorders>
            <w:vAlign w:val="center"/>
            <w:hideMark/>
          </w:tcPr>
          <w:p>
            <w:pPr>
              <w:rPr>
                <w:rFonts w:ascii="SimSun" w:eastAsia="SimSun" w:hAnsi="SimSun" w:cs="SimSun"/>
                <w:b w:val="0"/>
                <w:bCs w:val="0"/>
                <w:i w:val="0"/>
                <w:iCs w:val="0"/>
                <w:smallCaps w:val="0"/>
                <w:color w:val="000000"/>
                <w:sz w:val="21"/>
                <w:szCs w:val="21"/>
              </w:rPr>
            </w:pPr>
          </w:p>
        </w:tc>
        <w:tc>
          <w:tcPr>
            <w:tcW w:w="201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法学类</w:t>
            </w:r>
          </w:p>
        </w:tc>
        <w:tc>
          <w:tcPr>
            <w:tcW w:w="3420" w:type="dxa"/>
            <w:tcBorders>
              <w:top w:val="inset" w:sz="6" w:space="0" w:color="808080"/>
              <w:left w:val="inset" w:sz="6" w:space="0" w:color="808080"/>
              <w:bottom w:val="inset" w:sz="6" w:space="0" w:color="808080"/>
              <w:right w:val="inset" w:sz="6" w:space="0" w:color="808080"/>
            </w:tcBorders>
            <w:noWrap w:val="0"/>
            <w:tcMar>
              <w:top w:w="8" w:type="dxa"/>
              <w:left w:w="8" w:type="dxa"/>
              <w:bottom w:w="8" w:type="dxa"/>
              <w:right w:w="8" w:type="dxa"/>
            </w:tcMar>
            <w:vAlign w:val="center"/>
            <w:hideMark/>
          </w:tcPr>
          <w:p>
            <w:pPr>
              <w:pBdr>
                <w:top w:val="none" w:sz="0" w:space="0" w:color="auto"/>
                <w:left w:val="none" w:sz="0" w:space="0" w:color="auto"/>
                <w:bottom w:val="none" w:sz="0" w:space="0" w:color="auto"/>
                <w:right w:val="none" w:sz="0" w:space="0" w:color="auto"/>
              </w:pBdr>
              <w:spacing w:before="0" w:after="0"/>
              <w:ind w:left="0" w:right="0"/>
              <w:jc w:val="center"/>
              <w:rPr>
                <w:rFonts w:ascii="Microsoft YaHei" w:eastAsia="Microsoft YaHei" w:hAnsi="Microsoft YaHei" w:cs="Microsoft YaHei"/>
                <w:b w:val="0"/>
                <w:bCs w:val="0"/>
                <w:i w:val="0"/>
                <w:iCs w:val="0"/>
                <w:smallCaps w:val="0"/>
                <w:color w:val="000000"/>
                <w:sz w:val="21"/>
                <w:szCs w:val="21"/>
              </w:rPr>
            </w:pPr>
            <w:r>
              <w:rPr>
                <w:rFonts w:ascii="SimSun" w:eastAsia="SimSun" w:hAnsi="SimSun" w:cs="SimSun"/>
                <w:b w:val="0"/>
                <w:bCs w:val="0"/>
                <w:i w:val="0"/>
                <w:iCs w:val="0"/>
                <w:smallCaps w:val="0"/>
                <w:color w:val="000000"/>
                <w:sz w:val="21"/>
                <w:szCs w:val="21"/>
              </w:rPr>
              <w:t>政治、英语、民法</w:t>
            </w:r>
          </w:p>
        </w:tc>
      </w:tr>
    </w:tbl>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xml:space="preserve">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Microsoft YaHei" w:eastAsia="Microsoft YaHei" w:hAnsi="Microsoft YaHei" w:cs="Microsoft YaHei"/>
          <w:color w:val="000000"/>
          <w:sz w:val="21"/>
          <w:szCs w:val="21"/>
        </w:rPr>
        <w:t> </w:t>
      </w:r>
    </w:p>
    <w:p>
      <w:pPr>
        <w:pBdr>
          <w:top w:val="none" w:sz="0" w:space="0" w:color="auto"/>
          <w:left w:val="none" w:sz="0" w:space="0" w:color="auto"/>
          <w:bottom w:val="none" w:sz="0" w:space="0" w:color="auto"/>
          <w:right w:val="none" w:sz="0" w:space="0" w:color="auto"/>
        </w:pBdr>
        <w:spacing w:before="0" w:after="0"/>
        <w:ind w:left="0" w:right="0"/>
        <w:rPr>
          <w:rFonts w:ascii="Microsoft YaHei" w:eastAsia="Microsoft YaHei" w:hAnsi="Microsoft YaHei" w:cs="Microsoft YaHei"/>
          <w:color w:val="000000"/>
          <w:sz w:val="21"/>
          <w:szCs w:val="21"/>
        </w:rPr>
      </w:pPr>
      <w:r>
        <w:rPr>
          <w:rFonts w:ascii="方正黑体_gbk" w:eastAsia="方正黑体_gbk" w:hAnsi="方正黑体_gbk" w:cs="方正黑体_gbk"/>
          <w:color w:val="000000"/>
          <w:sz w:val="32"/>
          <w:szCs w:val="32"/>
        </w:rPr>
        <w:t>三、成人高考报名有关事宜</w:t>
      </w:r>
    </w:p>
    <w:p>
      <w:pPr>
        <w:pBdr>
          <w:top w:val="none" w:sz="0" w:space="0" w:color="auto"/>
          <w:left w:val="none" w:sz="0" w:space="0" w:color="auto"/>
          <w:bottom w:val="none" w:sz="0" w:space="0" w:color="auto"/>
          <w:right w:val="none" w:sz="0" w:space="0" w:color="auto"/>
        </w:pBdr>
        <w:spacing w:before="0" w:after="0"/>
        <w:ind w:left="0" w:right="0" w:firstLine="643"/>
        <w:rPr>
          <w:rFonts w:ascii="Microsoft YaHei" w:eastAsia="Microsoft YaHei" w:hAnsi="Microsoft YaHei" w:cs="Microsoft YaHei"/>
          <w:color w:val="000000"/>
          <w:sz w:val="21"/>
          <w:szCs w:val="21"/>
        </w:rPr>
      </w:pPr>
      <w:r>
        <w:rPr>
          <w:color w:val="000000"/>
          <w:sz w:val="32"/>
          <w:szCs w:val="32"/>
        </w:rPr>
        <w:t>(</w:t>
      </w:r>
      <w:r>
        <w:rPr>
          <w:rFonts w:ascii="方正仿宋_gbk" w:eastAsia="方正仿宋_gbk" w:hAnsi="方正仿宋_gbk" w:cs="方正仿宋_gbk"/>
          <w:color w:val="000000"/>
          <w:sz w:val="32"/>
          <w:szCs w:val="32"/>
        </w:rPr>
        <w:t>一</w:t>
      </w:r>
      <w:r>
        <w:rPr>
          <w:color w:val="000000"/>
          <w:sz w:val="32"/>
          <w:szCs w:val="32"/>
        </w:rPr>
        <w:t>)</w:t>
      </w:r>
      <w:r>
        <w:rPr>
          <w:rFonts w:ascii="方正仿宋_gbk" w:eastAsia="方正仿宋_gbk" w:hAnsi="方正仿宋_gbk" w:cs="方正仿宋_gbk"/>
          <w:color w:val="000000"/>
          <w:sz w:val="32"/>
          <w:szCs w:val="32"/>
        </w:rPr>
        <w:t>报名考试安排：</w:t>
      </w:r>
      <w:r>
        <w:rPr>
          <w:rFonts w:ascii="方正仿宋_gbk" w:eastAsia="方正仿宋_gbk" w:hAnsi="方正仿宋_gbk" w:cs="方正仿宋_gbk"/>
          <w:color w:val="000000"/>
          <w:sz w:val="32"/>
          <w:szCs w:val="32"/>
        </w:rPr>
        <w:t>请务必八月底在新疆招生网查询新疆维吾尔自治区招生委员会公布的成人高考报名考试的相关文件！</w:t>
      </w:r>
    </w:p>
    <w:p>
      <w:pPr>
        <w:pBdr>
          <w:top w:val="none" w:sz="0" w:space="0" w:color="auto"/>
          <w:left w:val="none" w:sz="0" w:space="0" w:color="auto"/>
          <w:bottom w:val="none" w:sz="0" w:space="0" w:color="auto"/>
          <w:right w:val="none" w:sz="0" w:space="0" w:color="auto"/>
        </w:pBdr>
        <w:spacing w:before="0" w:after="0"/>
        <w:ind w:left="0" w:right="0" w:firstLine="643"/>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（二）报名地点与交通路线：</w:t>
      </w:r>
      <w:r>
        <w:rPr>
          <w:rFonts w:ascii="方正仿宋_gbk" w:eastAsia="方正仿宋_gbk" w:hAnsi="方正仿宋_gbk" w:cs="方正仿宋_gbk"/>
          <w:color w:val="000000"/>
          <w:sz w:val="32"/>
          <w:szCs w:val="32"/>
        </w:rPr>
        <w:t>幸福路</w:t>
      </w:r>
      <w:r>
        <w:rPr>
          <w:color w:val="000000"/>
          <w:sz w:val="32"/>
          <w:szCs w:val="32"/>
        </w:rPr>
        <w:t>281</w:t>
      </w:r>
      <w:r>
        <w:rPr>
          <w:rFonts w:ascii="方正仿宋_gbk" w:eastAsia="方正仿宋_gbk" w:hAnsi="方正仿宋_gbk" w:cs="方正仿宋_gbk"/>
          <w:color w:val="000000"/>
          <w:sz w:val="32"/>
          <w:szCs w:val="32"/>
        </w:rPr>
        <w:t>号乌鲁木齐职业大学西校区，乘</w:t>
      </w:r>
      <w:r>
        <w:rPr>
          <w:color w:val="000000"/>
          <w:sz w:val="32"/>
          <w:szCs w:val="32"/>
        </w:rPr>
        <w:t>17</w:t>
      </w:r>
      <w:r>
        <w:rPr>
          <w:rFonts w:ascii="方正仿宋_gbk" w:eastAsia="方正仿宋_gbk" w:hAnsi="方正仿宋_gbk" w:cs="方正仿宋_gbk"/>
          <w:color w:val="000000"/>
          <w:sz w:val="32"/>
          <w:szCs w:val="32"/>
        </w:rPr>
        <w:t>、</w:t>
      </w:r>
      <w:r>
        <w:rPr>
          <w:color w:val="000000"/>
          <w:sz w:val="32"/>
          <w:szCs w:val="32"/>
        </w:rPr>
        <w:t>907</w:t>
      </w:r>
      <w:r>
        <w:rPr>
          <w:rFonts w:ascii="方正仿宋_gbk" w:eastAsia="方正仿宋_gbk" w:hAnsi="方正仿宋_gbk" w:cs="方正仿宋_gbk"/>
          <w:color w:val="000000"/>
          <w:sz w:val="32"/>
          <w:szCs w:val="32"/>
        </w:rPr>
        <w:t>、</w:t>
      </w:r>
      <w:r>
        <w:rPr>
          <w:color w:val="000000"/>
          <w:sz w:val="32"/>
          <w:szCs w:val="32"/>
        </w:rPr>
        <w:t>29</w:t>
      </w:r>
      <w:r>
        <w:rPr>
          <w:rFonts w:ascii="方正仿宋_gbk" w:eastAsia="方正仿宋_gbk" w:hAnsi="方正仿宋_gbk" w:cs="方正仿宋_gbk"/>
          <w:color w:val="000000"/>
          <w:sz w:val="32"/>
          <w:szCs w:val="32"/>
        </w:rPr>
        <w:t>、</w:t>
      </w:r>
      <w:r>
        <w:rPr>
          <w:color w:val="000000"/>
          <w:sz w:val="32"/>
          <w:szCs w:val="32"/>
        </w:rPr>
        <w:t>911</w:t>
      </w:r>
      <w:r>
        <w:rPr>
          <w:rFonts w:ascii="方正仿宋_gbk" w:eastAsia="方正仿宋_gbk" w:hAnsi="方正仿宋_gbk" w:cs="方正仿宋_gbk"/>
          <w:color w:val="000000"/>
          <w:sz w:val="32"/>
          <w:szCs w:val="32"/>
        </w:rPr>
        <w:t>、</w:t>
      </w:r>
      <w:r>
        <w:rPr>
          <w:color w:val="000000"/>
          <w:sz w:val="32"/>
          <w:szCs w:val="32"/>
        </w:rPr>
        <w:t>306</w:t>
      </w:r>
      <w:r>
        <w:rPr>
          <w:rFonts w:ascii="方正仿宋_gbk" w:eastAsia="方正仿宋_gbk" w:hAnsi="方正仿宋_gbk" w:cs="方正仿宋_gbk"/>
          <w:color w:val="000000"/>
          <w:sz w:val="32"/>
          <w:szCs w:val="32"/>
        </w:rPr>
        <w:t>路公交车成教院站</w:t>
      </w:r>
    </w:p>
    <w:p>
      <w:pPr>
        <w:pBdr>
          <w:top w:val="none" w:sz="0" w:space="0" w:color="auto"/>
          <w:left w:val="none" w:sz="0" w:space="0" w:color="auto"/>
          <w:bottom w:val="none" w:sz="0" w:space="0" w:color="auto"/>
          <w:right w:val="none" w:sz="0" w:space="0" w:color="auto"/>
        </w:pBdr>
        <w:spacing w:before="0" w:after="0"/>
        <w:ind w:left="0" w:right="1050" w:firstLine="643"/>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（三）报名咨询电话与联系人：</w:t>
      </w:r>
    </w:p>
    <w:p>
      <w:pPr>
        <w:pBdr>
          <w:top w:val="none" w:sz="0" w:space="0" w:color="auto"/>
          <w:left w:val="none" w:sz="0" w:space="0" w:color="auto"/>
          <w:bottom w:val="none" w:sz="0" w:space="0" w:color="auto"/>
          <w:right w:val="none" w:sz="0" w:space="0" w:color="auto"/>
        </w:pBdr>
        <w:spacing w:before="0" w:after="0"/>
        <w:ind w:left="0" w:right="1050" w:firstLine="990"/>
        <w:rPr>
          <w:rFonts w:ascii="Microsoft YaHei" w:eastAsia="Microsoft YaHei" w:hAnsi="Microsoft YaHei" w:cs="Microsoft YaHei"/>
          <w:color w:val="000000"/>
          <w:sz w:val="21"/>
          <w:szCs w:val="21"/>
        </w:rPr>
      </w:pPr>
      <w:r>
        <w:rPr>
          <w:rFonts w:ascii="SimSun" w:eastAsia="SimSun" w:hAnsi="SimSun" w:cs="SimSun"/>
          <w:color w:val="000000"/>
          <w:sz w:val="33"/>
          <w:szCs w:val="33"/>
        </w:rPr>
        <w:t>招生咨询电话：</w:t>
      </w:r>
      <w:r>
        <w:rPr>
          <w:color w:val="000000"/>
          <w:sz w:val="32"/>
          <w:szCs w:val="32"/>
        </w:rPr>
        <w:t>0991-8851078  </w:t>
      </w:r>
    </w:p>
    <w:p>
      <w:pPr>
        <w:pBdr>
          <w:top w:val="none" w:sz="0" w:space="0" w:color="auto"/>
          <w:left w:val="none" w:sz="0" w:space="0" w:color="auto"/>
          <w:bottom w:val="none" w:sz="0" w:space="0" w:color="auto"/>
          <w:right w:val="none" w:sz="0" w:space="0" w:color="auto"/>
        </w:pBdr>
        <w:spacing w:before="0" w:after="0"/>
        <w:ind w:left="0" w:right="1050" w:firstLine="22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朱老师</w:t>
      </w:r>
      <w:r>
        <w:rPr>
          <w:color w:val="000000"/>
          <w:sz w:val="32"/>
          <w:szCs w:val="32"/>
        </w:rPr>
        <w:t>13999972552</w:t>
      </w:r>
    </w:p>
    <w:p>
      <w:pPr>
        <w:pBdr>
          <w:top w:val="none" w:sz="0" w:space="0" w:color="auto"/>
          <w:left w:val="none" w:sz="0" w:space="0" w:color="auto"/>
          <w:bottom w:val="none" w:sz="0" w:space="0" w:color="auto"/>
          <w:right w:val="none" w:sz="0" w:space="0" w:color="auto"/>
        </w:pBdr>
        <w:spacing w:before="0" w:after="0"/>
        <w:ind w:left="0" w:right="1050" w:firstLine="22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安老师</w:t>
      </w:r>
      <w:r>
        <w:rPr>
          <w:color w:val="000000"/>
          <w:sz w:val="32"/>
          <w:szCs w:val="32"/>
        </w:rPr>
        <w:t>13999903333  </w:t>
      </w:r>
    </w:p>
    <w:p>
      <w:pPr>
        <w:pBdr>
          <w:top w:val="none" w:sz="0" w:space="0" w:color="auto"/>
          <w:left w:val="none" w:sz="0" w:space="0" w:color="auto"/>
          <w:bottom w:val="none" w:sz="0" w:space="0" w:color="auto"/>
          <w:right w:val="none" w:sz="0" w:space="0" w:color="auto"/>
        </w:pBdr>
        <w:spacing w:before="0" w:after="0"/>
        <w:ind w:left="0" w:right="1050" w:firstLine="2240"/>
        <w:rPr>
          <w:rFonts w:ascii="Microsoft YaHei" w:eastAsia="Microsoft YaHei" w:hAnsi="Microsoft YaHei" w:cs="Microsoft YaHei"/>
          <w:color w:val="000000"/>
          <w:sz w:val="21"/>
          <w:szCs w:val="21"/>
        </w:rPr>
      </w:pPr>
      <w:r>
        <w:rPr>
          <w:rFonts w:ascii="方正仿宋_gbk" w:eastAsia="方正仿宋_gbk" w:hAnsi="方正仿宋_gbk" w:cs="方正仿宋_gbk"/>
          <w:color w:val="000000"/>
          <w:sz w:val="32"/>
          <w:szCs w:val="32"/>
        </w:rPr>
        <w:t>古老师</w:t>
      </w:r>
      <w:r>
        <w:rPr>
          <w:color w:val="000000"/>
          <w:sz w:val="32"/>
          <w:szCs w:val="32"/>
        </w:rPr>
        <w:t>13999269989</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乌鲁木齐开放大学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年春秋季招生简章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喀什大学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伊犁师范大学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石河子大学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年本专科招生章程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7.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3.html" TargetMode="External" /><Relationship Id="rId13" Type="http://schemas.openxmlformats.org/officeDocument/2006/relationships/hyperlink" Target="http://www.gk114.com/a/gxzs/zszc/xinjiang/2021/0615/19932.html" TargetMode="External" /><Relationship Id="rId14" Type="http://schemas.openxmlformats.org/officeDocument/2006/relationships/hyperlink" Target="http://www.gk114.com/a/gxzs/zszc/xinjiang/2021/0224/18751.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2/0220/21749.html" TargetMode="External" /><Relationship Id="rId5" Type="http://schemas.openxmlformats.org/officeDocument/2006/relationships/hyperlink" Target="http://www.gk114.com/a/gxzs/zszc/xinjiang/2022/0311/21854.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