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云南大学旅游文化学院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b/>
          <w:bCs/>
          <w:color w:val="666666"/>
        </w:rPr>
        <w:t>一、概况</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NSimSun" w:eastAsia="NSimSun" w:hAnsi="NSimSun" w:cs="NSimSun"/>
          <w:color w:val="666666"/>
        </w:rPr>
        <w:t>云南大学旅游文化学院位于享有世界文化遗产、世界自然遗产、世界记忆遗产美誉的丽江古城，是国家教育部</w:t>
      </w:r>
      <w:r>
        <w:rPr>
          <w:rFonts w:ascii="SimSun" w:eastAsia="SimSun" w:hAnsi="SimSun" w:cs="SimSun"/>
          <w:color w:val="666666"/>
        </w:rPr>
        <w:t>2004</w:t>
      </w:r>
      <w:r>
        <w:rPr>
          <w:rFonts w:ascii="SimSun" w:eastAsia="SimSun" w:hAnsi="SimSun" w:cs="SimSun"/>
          <w:color w:val="666666"/>
        </w:rPr>
        <w:t>年首批确认的独立学院。按国家计划面向全国统一招生。</w:t>
      </w:r>
      <w:r>
        <w:rPr>
          <w:rFonts w:ascii="NSimSun" w:eastAsia="NSimSun" w:hAnsi="NSimSun" w:cs="NSimSun"/>
          <w:color w:val="666666"/>
        </w:rPr>
        <w:t>学院是一所办学特色鲜明，以培养适应社会经济发展需要，具有创新能力的高素质应用型人才为目标的全国一流的综合性独立学院。</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b/>
          <w:bCs/>
          <w:color w:val="666666"/>
        </w:rPr>
        <w:t>二</w:t>
      </w:r>
      <w:r>
        <w:rPr>
          <w:rFonts w:ascii="SimSun" w:eastAsia="SimSun" w:hAnsi="SimSun" w:cs="SimSun"/>
          <w:b/>
          <w:bCs/>
          <w:color w:val="666666"/>
        </w:rPr>
        <w:t>、院校代码</w:t>
      </w:r>
      <w:r>
        <w:rPr>
          <w:rFonts w:ascii="SimSun" w:eastAsia="SimSun" w:hAnsi="SimSun" w:cs="SimSun"/>
          <w:color w:val="666666"/>
        </w:rPr>
        <w:t>：</w:t>
      </w:r>
      <w:r>
        <w:rPr>
          <w:rFonts w:ascii="SimSun" w:eastAsia="SimSun" w:hAnsi="SimSun" w:cs="SimSun"/>
          <w:color w:val="666666"/>
        </w:rPr>
        <w:t>13328</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b/>
          <w:bCs/>
          <w:color w:val="666666"/>
        </w:rPr>
        <w:t>三、办学层次及招生专业</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办学层次：本科，学制四年。</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招生专业：</w:t>
      </w:r>
    </w:p>
    <w:p>
      <w:pPr>
        <w:pBdr>
          <w:top w:val="none" w:sz="0" w:space="0" w:color="auto"/>
          <w:left w:val="none" w:sz="0" w:space="0" w:color="auto"/>
          <w:bottom w:val="none" w:sz="0" w:space="0" w:color="auto"/>
          <w:right w:val="none" w:sz="0" w:space="0" w:color="auto"/>
        </w:pBdr>
        <w:spacing w:before="0" w:after="0" w:line="315" w:lineRule="atLeast"/>
        <w:ind w:left="0" w:right="0" w:firstLine="465"/>
        <w:rPr>
          <w:rFonts w:ascii="Microsoft YaHei" w:eastAsia="Microsoft YaHei" w:hAnsi="Microsoft YaHei" w:cs="Microsoft YaHei"/>
          <w:color w:val="666666"/>
          <w:sz w:val="21"/>
          <w:szCs w:val="21"/>
        </w:rPr>
      </w:pPr>
      <w:r>
        <w:rPr>
          <w:rFonts w:ascii="SimSun" w:eastAsia="SimSun" w:hAnsi="SimSun" w:cs="SimSun"/>
          <w:b/>
          <w:bCs/>
          <w:color w:val="666666"/>
        </w:rPr>
        <w:t>普通类：</w:t>
      </w:r>
      <w:r>
        <w:rPr>
          <w:rFonts w:ascii="SimSun" w:eastAsia="SimSun" w:hAnsi="SimSun" w:cs="SimSun"/>
          <w:color w:val="666666"/>
        </w:rPr>
        <w:t>汉语言文学、汉语国际教育、新闻学、秘书学、</w:t>
      </w:r>
      <w:r>
        <w:rPr>
          <w:rFonts w:ascii="SimSun" w:eastAsia="SimSun" w:hAnsi="SimSun" w:cs="SimSun"/>
          <w:color w:val="666666"/>
        </w:rPr>
        <w:t>学前教育、</w:t>
      </w:r>
      <w:r>
        <w:rPr>
          <w:rFonts w:ascii="SimSun" w:eastAsia="SimSun" w:hAnsi="SimSun" w:cs="SimSun"/>
          <w:color w:val="666666"/>
        </w:rPr>
        <w:t>英语、日语、会计学、财务管理、审计学、</w:t>
      </w:r>
      <w:r>
        <w:rPr>
          <w:rFonts w:ascii="SimSun" w:eastAsia="SimSun" w:hAnsi="SimSun" w:cs="SimSun"/>
          <w:color w:val="666666"/>
        </w:rPr>
        <w:t>资产评估、</w:t>
      </w:r>
      <w:r>
        <w:rPr>
          <w:rFonts w:ascii="SimSun" w:eastAsia="SimSun" w:hAnsi="SimSun" w:cs="SimSun"/>
          <w:color w:val="666666"/>
        </w:rPr>
        <w:t>工商管理、市场营销、国际经济与贸易、金融学、经济学、电子商务、旅游管理、酒店管理、文化产业管理、</w:t>
      </w:r>
      <w:r>
        <w:rPr>
          <w:rFonts w:ascii="SimSun" w:eastAsia="SimSun" w:hAnsi="SimSun" w:cs="SimSun"/>
          <w:color w:val="666666"/>
        </w:rPr>
        <w:t>会展经济与管理、</w:t>
      </w:r>
      <w:r>
        <w:rPr>
          <w:rFonts w:ascii="SimSun" w:eastAsia="SimSun" w:hAnsi="SimSun" w:cs="SimSun"/>
          <w:color w:val="666666"/>
        </w:rPr>
        <w:t>信息管理与信息系统、电子信息工程、计算机科学与技术、应用统计学、软件工程、</w:t>
      </w:r>
      <w:r>
        <w:rPr>
          <w:rFonts w:ascii="NSimSun" w:eastAsia="NSimSun" w:hAnsi="NSimSun" w:cs="NSimSun"/>
          <w:color w:val="666666"/>
        </w:rPr>
        <w:t>数据科学与大数据技术、</w:t>
      </w:r>
      <w:r>
        <w:rPr>
          <w:rFonts w:ascii="SimSun" w:eastAsia="SimSun" w:hAnsi="SimSun" w:cs="SimSun"/>
          <w:color w:val="666666"/>
        </w:rPr>
        <w:t>物联网工程、护理学</w:t>
      </w:r>
      <w:r>
        <w:rPr>
          <w:rFonts w:ascii="NSimSun" w:eastAsia="NSimSun" w:hAnsi="NSimSun" w:cs="NSimSun"/>
          <w:color w:val="666666"/>
        </w:rPr>
        <w:t>、</w:t>
      </w:r>
      <w:r>
        <w:rPr>
          <w:rFonts w:ascii="NSimSun" w:eastAsia="NSimSun" w:hAnsi="NSimSun" w:cs="NSimSun"/>
          <w:color w:val="666666"/>
        </w:rPr>
        <w:t>助产学</w:t>
      </w:r>
      <w:r>
        <w:rPr>
          <w:rFonts w:ascii="SimSun" w:eastAsia="SimSun" w:hAnsi="SimSun" w:cs="SimSun"/>
          <w:color w:val="666666"/>
        </w:rPr>
        <w:t>。</w:t>
      </w:r>
    </w:p>
    <w:p>
      <w:pPr>
        <w:pBdr>
          <w:top w:val="none" w:sz="0" w:space="0" w:color="auto"/>
          <w:left w:val="none" w:sz="0" w:space="0" w:color="auto"/>
          <w:bottom w:val="none" w:sz="0" w:space="0" w:color="auto"/>
          <w:right w:val="none" w:sz="0" w:space="0" w:color="auto"/>
        </w:pBdr>
        <w:spacing w:before="0" w:after="0" w:line="315" w:lineRule="atLeast"/>
        <w:ind w:left="0" w:right="0" w:firstLine="465"/>
        <w:rPr>
          <w:rFonts w:ascii="Microsoft YaHei" w:eastAsia="Microsoft YaHei" w:hAnsi="Microsoft YaHei" w:cs="Microsoft YaHei"/>
          <w:color w:val="666666"/>
          <w:sz w:val="21"/>
          <w:szCs w:val="21"/>
        </w:rPr>
      </w:pPr>
      <w:r>
        <w:rPr>
          <w:rFonts w:ascii="SimSun" w:eastAsia="SimSun" w:hAnsi="SimSun" w:cs="SimSun"/>
          <w:b/>
          <w:bCs/>
          <w:color w:val="666666"/>
        </w:rPr>
        <w:t>艺术类：</w:t>
      </w:r>
      <w:r>
        <w:rPr>
          <w:rFonts w:ascii="NSimSun" w:eastAsia="NSimSun" w:hAnsi="NSimSun" w:cs="NSimSun"/>
          <w:color w:val="666666"/>
        </w:rPr>
        <w:t>视觉传达设计、环境设计、产品设计</w:t>
      </w:r>
      <w:r>
        <w:rPr>
          <w:rFonts w:ascii="SimSun" w:eastAsia="SimSun" w:hAnsi="SimSun" w:cs="SimSun"/>
          <w:color w:val="666666"/>
        </w:rPr>
        <w:t>、动画、服装与服饰设计。</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b/>
          <w:bCs/>
          <w:color w:val="666666"/>
        </w:rPr>
        <w:t>四、预留计划及使用原则</w:t>
      </w:r>
    </w:p>
    <w:p>
      <w:pPr>
        <w:pBdr>
          <w:top w:val="none" w:sz="0" w:space="0" w:color="auto"/>
          <w:left w:val="none" w:sz="0" w:space="0" w:color="auto"/>
          <w:bottom w:val="none" w:sz="0" w:space="0" w:color="auto"/>
          <w:right w:val="none" w:sz="0" w:space="0" w:color="auto"/>
        </w:pBdr>
        <w:spacing w:before="0" w:after="0" w:line="315" w:lineRule="atLeast"/>
        <w:ind w:left="0" w:right="0" w:firstLine="360"/>
        <w:rPr>
          <w:rFonts w:ascii="Microsoft YaHei" w:eastAsia="Microsoft YaHei" w:hAnsi="Microsoft YaHei" w:cs="Microsoft YaHei"/>
          <w:color w:val="666666"/>
          <w:sz w:val="21"/>
          <w:szCs w:val="21"/>
        </w:rPr>
      </w:pPr>
      <w:r>
        <w:rPr>
          <w:rFonts w:ascii="SimSun" w:eastAsia="SimSun" w:hAnsi="SimSun" w:cs="SimSun"/>
          <w:color w:val="666666"/>
        </w:rPr>
        <w:t>1</w:t>
      </w:r>
      <w:r>
        <w:rPr>
          <w:rFonts w:ascii="SimSun" w:eastAsia="SimSun" w:hAnsi="SimSun" w:cs="SimSun"/>
          <w:color w:val="666666"/>
        </w:rPr>
        <w:t>、</w:t>
      </w:r>
      <w:r>
        <w:rPr>
          <w:rFonts w:ascii="SimSun" w:eastAsia="SimSun" w:hAnsi="SimSun" w:cs="SimSun"/>
          <w:color w:val="666666"/>
        </w:rPr>
        <w:t>预留计划数量</w:t>
      </w:r>
      <w:r>
        <w:rPr>
          <w:rFonts w:ascii="SimSun" w:eastAsia="SimSun" w:hAnsi="SimSun" w:cs="SimSun"/>
          <w:color w:val="666666"/>
        </w:rPr>
        <w:t>：</w:t>
      </w:r>
      <w:r>
        <w:rPr>
          <w:rFonts w:ascii="SimSun" w:eastAsia="SimSun" w:hAnsi="SimSun" w:cs="SimSun"/>
          <w:color w:val="666666"/>
        </w:rPr>
        <w:t>按教育部规定，我校预留计划数量为本科招生规模的</w:t>
      </w:r>
      <w:r>
        <w:rPr>
          <w:rFonts w:ascii="Calibri" w:eastAsia="Calibri" w:hAnsi="Calibri" w:cs="Calibri"/>
          <w:color w:val="666666"/>
        </w:rPr>
        <w:t>1%</w:t>
      </w:r>
      <w:r>
        <w:rPr>
          <w:rFonts w:ascii="SimSun" w:eastAsia="SimSun" w:hAnsi="SimSun" w:cs="SimSun"/>
          <w:color w:val="666666"/>
        </w:rPr>
        <w:t>。</w:t>
      </w:r>
    </w:p>
    <w:p>
      <w:pPr>
        <w:pBdr>
          <w:top w:val="none" w:sz="0" w:space="0" w:color="auto"/>
          <w:left w:val="none" w:sz="0" w:space="0" w:color="auto"/>
          <w:bottom w:val="none" w:sz="0" w:space="0" w:color="auto"/>
          <w:right w:val="none" w:sz="0" w:space="0" w:color="auto"/>
        </w:pBdr>
        <w:spacing w:before="0" w:after="0" w:line="315" w:lineRule="atLeast"/>
        <w:ind w:left="0" w:right="0" w:firstLine="360"/>
        <w:rPr>
          <w:rFonts w:ascii="Microsoft YaHei" w:eastAsia="Microsoft YaHei" w:hAnsi="Microsoft YaHei" w:cs="Microsoft YaHei"/>
          <w:color w:val="666666"/>
          <w:sz w:val="21"/>
          <w:szCs w:val="21"/>
        </w:rPr>
      </w:pPr>
      <w:r>
        <w:rPr>
          <w:rFonts w:ascii="SimSun" w:eastAsia="SimSun" w:hAnsi="SimSun" w:cs="SimSun"/>
          <w:color w:val="666666"/>
        </w:rPr>
        <w:t>2</w:t>
      </w:r>
      <w:r>
        <w:rPr>
          <w:rFonts w:ascii="SimSun" w:eastAsia="SimSun" w:hAnsi="SimSun" w:cs="SimSun"/>
          <w:color w:val="666666"/>
        </w:rPr>
        <w:t>、</w:t>
      </w:r>
      <w:r>
        <w:rPr>
          <w:rFonts w:ascii="Calibri" w:eastAsia="Calibri" w:hAnsi="Calibri" w:cs="Calibri"/>
          <w:color w:val="666666"/>
        </w:rPr>
        <w:t> </w:t>
      </w:r>
      <w:r>
        <w:rPr>
          <w:rFonts w:ascii="SimSun" w:eastAsia="SimSun" w:hAnsi="SimSun" w:cs="SimSun"/>
          <w:color w:val="666666"/>
        </w:rPr>
        <w:t>预留计划使用原则：经学校招生领导小组集体研究决定，用于生源较好的省市区。</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b/>
          <w:bCs/>
          <w:color w:val="666666"/>
        </w:rPr>
        <w:t>五、录取规则</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1</w:t>
      </w:r>
      <w:r>
        <w:rPr>
          <w:rFonts w:ascii="SimSun" w:eastAsia="SimSun" w:hAnsi="SimSun" w:cs="SimSun"/>
          <w:color w:val="666666"/>
        </w:rPr>
        <w:t>、考生高考成绩（含政策性加分）须达到或超过本学院在生源地所属批次本科录取控制线。</w:t>
      </w:r>
    </w:p>
    <w:p>
      <w:pPr>
        <w:pBdr>
          <w:top w:val="none" w:sz="0" w:space="0" w:color="auto"/>
          <w:left w:val="none" w:sz="0" w:space="0" w:color="auto"/>
          <w:bottom w:val="none" w:sz="0" w:space="0" w:color="auto"/>
          <w:right w:val="none" w:sz="0" w:space="0" w:color="auto"/>
        </w:pBdr>
        <w:spacing w:before="0" w:after="0" w:line="315" w:lineRule="atLeast"/>
        <w:ind w:left="0" w:right="0" w:firstLine="360"/>
        <w:rPr>
          <w:rFonts w:ascii="Microsoft YaHei" w:eastAsia="Microsoft YaHei" w:hAnsi="Microsoft YaHei" w:cs="Microsoft YaHei"/>
          <w:color w:val="666666"/>
          <w:sz w:val="21"/>
          <w:szCs w:val="21"/>
        </w:rPr>
      </w:pPr>
      <w:r>
        <w:rPr>
          <w:rFonts w:ascii="SimSun" w:eastAsia="SimSun" w:hAnsi="SimSun" w:cs="SimSun"/>
          <w:color w:val="666666"/>
        </w:rPr>
        <w:t> 2</w:t>
      </w:r>
      <w:r>
        <w:rPr>
          <w:rFonts w:ascii="SimSun" w:eastAsia="SimSun" w:hAnsi="SimSun" w:cs="SimSun"/>
          <w:color w:val="666666"/>
        </w:rPr>
        <w:t>、</w:t>
      </w:r>
      <w:r>
        <w:rPr>
          <w:rFonts w:ascii="SimSun" w:eastAsia="SimSun" w:hAnsi="SimSun" w:cs="SimSun"/>
          <w:color w:val="666666"/>
        </w:rPr>
        <w:t>录取</w:t>
      </w:r>
      <w:r>
        <w:rPr>
          <w:rFonts w:ascii="SimSun" w:eastAsia="SimSun" w:hAnsi="SimSun" w:cs="SimSun"/>
          <w:color w:val="666666"/>
        </w:rPr>
        <w:t>规则</w:t>
      </w:r>
      <w:r>
        <w:rPr>
          <w:rFonts w:ascii="SimSun" w:eastAsia="SimSun" w:hAnsi="SimSun" w:cs="SimSun"/>
          <w:color w:val="666666"/>
        </w:rPr>
        <w:t>：对于</w:t>
      </w:r>
      <w:r>
        <w:rPr>
          <w:rFonts w:ascii="SimSun" w:eastAsia="SimSun" w:hAnsi="SimSun" w:cs="SimSun"/>
          <w:color w:val="666666"/>
        </w:rPr>
        <w:t>投档到我院的</w:t>
      </w:r>
      <w:r>
        <w:rPr>
          <w:rFonts w:ascii="SimSun" w:eastAsia="SimSun" w:hAnsi="SimSun" w:cs="SimSun"/>
          <w:color w:val="666666"/>
        </w:rPr>
        <w:t>考生，</w:t>
      </w:r>
      <w:r>
        <w:rPr>
          <w:rFonts w:ascii="SimSun" w:eastAsia="SimSun" w:hAnsi="SimSun" w:cs="SimSun"/>
          <w:color w:val="666666"/>
        </w:rPr>
        <w:t>按照从高分到低分排序，依次满足专业志愿录取</w:t>
      </w:r>
      <w:r>
        <w:rPr>
          <w:rFonts w:ascii="SimSun" w:eastAsia="SimSun" w:hAnsi="SimSun" w:cs="SimSun"/>
          <w:color w:val="666666"/>
        </w:rPr>
        <w:t>；</w:t>
      </w:r>
      <w:r>
        <w:rPr>
          <w:rFonts w:ascii="SimSun" w:eastAsia="SimSun" w:hAnsi="SimSun" w:cs="SimSun"/>
          <w:color w:val="666666"/>
        </w:rPr>
        <w:t>专业之间不设级差，如专业志愿和分数都相同的人数多于录取计划时，则根据考生所报专业相关科目成绩择优录取。</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3</w:t>
      </w:r>
      <w:r>
        <w:rPr>
          <w:rFonts w:ascii="SimSun" w:eastAsia="SimSun" w:hAnsi="SimSun" w:cs="SimSun"/>
          <w:color w:val="666666"/>
        </w:rPr>
        <w:t>、</w:t>
      </w:r>
      <w:r>
        <w:rPr>
          <w:rFonts w:ascii="SimSun" w:eastAsia="SimSun" w:hAnsi="SimSun" w:cs="SimSun"/>
          <w:color w:val="666666"/>
        </w:rPr>
        <w:t>凡报考我院艺术</w:t>
      </w:r>
      <w:r>
        <w:rPr>
          <w:rFonts w:ascii="SimSun" w:eastAsia="SimSun" w:hAnsi="SimSun" w:cs="SimSun"/>
          <w:color w:val="666666"/>
        </w:rPr>
        <w:t>设计学院各</w:t>
      </w:r>
      <w:r>
        <w:rPr>
          <w:rFonts w:ascii="SimSun" w:eastAsia="SimSun" w:hAnsi="SimSun" w:cs="SimSun"/>
          <w:color w:val="666666"/>
        </w:rPr>
        <w:t>专业的考生</w:t>
      </w:r>
      <w:r>
        <w:rPr>
          <w:rFonts w:ascii="SimSun" w:eastAsia="SimSun" w:hAnsi="SimSun" w:cs="SimSun"/>
          <w:color w:val="666666"/>
        </w:rPr>
        <w:t>，须</w:t>
      </w:r>
      <w:r>
        <w:rPr>
          <w:rFonts w:ascii="SimSun" w:eastAsia="SimSun" w:hAnsi="SimSun" w:cs="SimSun"/>
          <w:color w:val="666666"/>
        </w:rPr>
        <w:t>按</w:t>
      </w:r>
      <w:r>
        <w:rPr>
          <w:rFonts w:ascii="SimSun" w:eastAsia="SimSun" w:hAnsi="SimSun" w:cs="SimSun"/>
          <w:color w:val="666666"/>
        </w:rPr>
        <w:t>生源地省级招办</w:t>
      </w:r>
      <w:r>
        <w:rPr>
          <w:rFonts w:ascii="SimSun" w:eastAsia="SimSun" w:hAnsi="SimSun" w:cs="SimSun"/>
          <w:color w:val="666666"/>
        </w:rPr>
        <w:t>的规定参加文化考试和美术类专业考试，我院认可</w:t>
      </w:r>
      <w:r>
        <w:rPr>
          <w:rFonts w:ascii="SimSun" w:eastAsia="SimSun" w:hAnsi="SimSun" w:cs="SimSun"/>
          <w:color w:val="666666"/>
        </w:rPr>
        <w:t>各省</w:t>
      </w:r>
      <w:r>
        <w:rPr>
          <w:rFonts w:ascii="SimSun" w:eastAsia="SimSun" w:hAnsi="SimSun" w:cs="SimSun"/>
          <w:color w:val="666666"/>
        </w:rPr>
        <w:t>艺术类专业联考的成绩</w:t>
      </w:r>
      <w:r>
        <w:rPr>
          <w:rFonts w:ascii="SimSun" w:eastAsia="SimSun" w:hAnsi="SimSun" w:cs="SimSun"/>
          <w:color w:val="666666"/>
        </w:rPr>
        <w:t>，按照考生生源所在地省级招办规定的录取规则进行录取。如生源所在地省级招办未作明确规定的，则按以下规则录取：</w:t>
      </w:r>
      <w:r>
        <w:rPr>
          <w:rFonts w:ascii="SimSun" w:eastAsia="SimSun" w:hAnsi="SimSun" w:cs="SimSun"/>
          <w:color w:val="666666"/>
        </w:rPr>
        <w:t>专业成绩和文化成绩都达到</w:t>
      </w:r>
      <w:r>
        <w:rPr>
          <w:rFonts w:ascii="SimSun" w:eastAsia="SimSun" w:hAnsi="SimSun" w:cs="SimSun"/>
          <w:color w:val="666666"/>
        </w:rPr>
        <w:t>生源地</w:t>
      </w:r>
      <w:r>
        <w:rPr>
          <w:rFonts w:ascii="SimSun" w:eastAsia="SimSun" w:hAnsi="SimSun" w:cs="SimSun"/>
          <w:color w:val="666666"/>
        </w:rPr>
        <w:t>艺术类本科录取线，按专业成绩从高分到低分顺序择优录取</w:t>
      </w:r>
      <w:r>
        <w:rPr>
          <w:rFonts w:ascii="SimSun" w:eastAsia="SimSun" w:hAnsi="SimSun" w:cs="SimSun"/>
          <w:color w:val="666666"/>
        </w:rPr>
        <w:t>；</w:t>
      </w:r>
      <w:r>
        <w:rPr>
          <w:rFonts w:ascii="SimSun" w:eastAsia="SimSun" w:hAnsi="SimSun" w:cs="SimSun"/>
          <w:color w:val="666666"/>
        </w:rPr>
        <w:t>若考生专业成绩相同，优先录取文化成绩较高者。</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4</w:t>
      </w:r>
      <w:r>
        <w:rPr>
          <w:rFonts w:ascii="SimSun" w:eastAsia="SimSun" w:hAnsi="SimSun" w:cs="SimSun"/>
          <w:color w:val="666666"/>
        </w:rPr>
        <w:t>、</w:t>
      </w:r>
      <w:r>
        <w:rPr>
          <w:rFonts w:ascii="SimSun" w:eastAsia="SimSun" w:hAnsi="SimSun" w:cs="SimSun"/>
          <w:color w:val="666666"/>
        </w:rPr>
        <w:t>外语语种要求：</w:t>
      </w:r>
      <w:r>
        <w:rPr>
          <w:rFonts w:ascii="SimSun" w:eastAsia="SimSun" w:hAnsi="SimSun" w:cs="SimSun"/>
          <w:color w:val="666666"/>
        </w:rPr>
        <w:t>除英语专业高考外语语种限英语并要求有英语口试成绩外（若所在省</w:t>
      </w:r>
      <w:r>
        <w:rPr>
          <w:rFonts w:ascii="SimSun" w:eastAsia="SimSun" w:hAnsi="SimSun" w:cs="SimSun"/>
          <w:color w:val="666666"/>
        </w:rPr>
        <w:t>、</w:t>
      </w:r>
      <w:r>
        <w:rPr>
          <w:rFonts w:ascii="SimSun" w:eastAsia="SimSun" w:hAnsi="SimSun" w:cs="SimSun"/>
          <w:color w:val="666666"/>
        </w:rPr>
        <w:t>市</w:t>
      </w:r>
      <w:r>
        <w:rPr>
          <w:rFonts w:ascii="SimSun" w:eastAsia="SimSun" w:hAnsi="SimSun" w:cs="SimSun"/>
          <w:color w:val="666666"/>
        </w:rPr>
        <w:t>无英语口语统考，则不要求有英语口试成绩），其他专业高考外语语种不限。入学后，大学外语授课语种为英语；经本人申请，学院批准后，也可选择日语或者泰语。</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5</w:t>
      </w:r>
      <w:r>
        <w:rPr>
          <w:rFonts w:ascii="SimSun" w:eastAsia="SimSun" w:hAnsi="SimSun" w:cs="SimSun"/>
          <w:color w:val="666666"/>
        </w:rPr>
        <w:t>、上海市生源在选考科目相同的专业组内允许调剂，调剂时参考高中阶段综合素质评价，浙江省生源按轮次投档到专业，专业间不能调剂。江苏省考生学业水平测试等级要求：选测科目等级为</w:t>
      </w:r>
      <w:r>
        <w:rPr>
          <w:rFonts w:ascii="Calibri" w:eastAsia="Calibri" w:hAnsi="Calibri" w:cs="Calibri"/>
          <w:color w:val="666666"/>
        </w:rPr>
        <w:t>CC</w:t>
      </w:r>
      <w:r>
        <w:rPr>
          <w:rFonts w:ascii="SimSun" w:eastAsia="SimSun" w:hAnsi="SimSun" w:cs="SimSun"/>
          <w:color w:val="666666"/>
        </w:rPr>
        <w:t>，必测科目为</w:t>
      </w:r>
      <w:r>
        <w:rPr>
          <w:rFonts w:ascii="Calibri" w:eastAsia="Calibri" w:hAnsi="Calibri" w:cs="Calibri"/>
          <w:color w:val="666666"/>
        </w:rPr>
        <w:t>4C1</w:t>
      </w:r>
      <w:r>
        <w:rPr>
          <w:rFonts w:ascii="SimSun" w:eastAsia="SimSun" w:hAnsi="SimSun" w:cs="SimSun"/>
          <w:color w:val="666666"/>
        </w:rPr>
        <w:t>合格；录取时按“先分数，后等级”的原则进行。</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6</w:t>
      </w:r>
      <w:r>
        <w:rPr>
          <w:rFonts w:ascii="SimSun" w:eastAsia="SimSun" w:hAnsi="SimSun" w:cs="SimSun"/>
          <w:color w:val="666666"/>
        </w:rPr>
        <w:t>、体检标准</w:t>
      </w:r>
      <w:r>
        <w:rPr>
          <w:rFonts w:ascii="SimSun" w:eastAsia="SimSun" w:hAnsi="SimSun" w:cs="SimSun"/>
          <w:color w:val="666666"/>
        </w:rPr>
        <w:t>：执行</w:t>
      </w:r>
      <w:r>
        <w:rPr>
          <w:rFonts w:ascii="SimSun" w:eastAsia="SimSun" w:hAnsi="SimSun" w:cs="SimSun"/>
          <w:color w:val="666666"/>
        </w:rPr>
        <w:t>教育部、卫生部颁布的</w:t>
      </w:r>
      <w:r>
        <w:rPr>
          <w:rFonts w:ascii="SimSun" w:eastAsia="SimSun" w:hAnsi="SimSun" w:cs="SimSun"/>
          <w:color w:val="666666"/>
        </w:rPr>
        <w:t>《普通高等学校招生体检工作指导意见》</w:t>
      </w:r>
      <w:r>
        <w:rPr>
          <w:rFonts w:ascii="SimSun" w:eastAsia="SimSun" w:hAnsi="SimSun" w:cs="SimSun"/>
          <w:color w:val="666666"/>
        </w:rPr>
        <w:t>。</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7</w:t>
      </w:r>
      <w:r>
        <w:rPr>
          <w:rFonts w:ascii="SimSun" w:eastAsia="SimSun" w:hAnsi="SimSun" w:cs="SimSun"/>
          <w:color w:val="666666"/>
        </w:rPr>
        <w:t>、凡按上述条件录取的新生，须有按时支付学费和住宿费的能力</w:t>
      </w:r>
      <w:r>
        <w:rPr>
          <w:rFonts w:ascii="SimSun" w:eastAsia="SimSun" w:hAnsi="SimSun" w:cs="SimSun"/>
          <w:color w:val="666666"/>
          <w:sz w:val="29"/>
          <w:szCs w:val="29"/>
        </w:rPr>
        <w:t>。</w:t>
      </w:r>
    </w:p>
    <w:p>
      <w:pPr>
        <w:pBdr>
          <w:top w:val="none" w:sz="0" w:space="0" w:color="auto"/>
          <w:left w:val="none" w:sz="0" w:space="0" w:color="auto"/>
          <w:bottom w:val="none" w:sz="0" w:space="0" w:color="auto"/>
          <w:right w:val="none" w:sz="0" w:space="0" w:color="auto"/>
        </w:pBdr>
        <w:spacing w:before="0" w:after="0" w:line="405" w:lineRule="atLeast"/>
        <w:ind w:left="0" w:right="0"/>
        <w:rPr>
          <w:rFonts w:ascii="Microsoft YaHei" w:eastAsia="Microsoft YaHei" w:hAnsi="Microsoft YaHei" w:cs="Microsoft YaHei"/>
          <w:color w:val="666666"/>
          <w:sz w:val="21"/>
          <w:szCs w:val="21"/>
        </w:rPr>
      </w:pPr>
      <w:r>
        <w:rPr>
          <w:rFonts w:ascii="SimSun" w:eastAsia="SimSun" w:hAnsi="SimSun" w:cs="SimSun"/>
          <w:b/>
          <w:bCs/>
          <w:color w:val="666666"/>
        </w:rPr>
        <w:t>六、</w:t>
      </w:r>
      <w:r>
        <w:rPr>
          <w:rFonts w:ascii="NSimSun" w:eastAsia="NSimSun" w:hAnsi="NSimSun" w:cs="NSimSun"/>
          <w:b/>
          <w:bCs/>
          <w:color w:val="666666"/>
        </w:rPr>
        <w:t>学费标准</w:t>
      </w:r>
    </w:p>
    <w:tbl>
      <w:tblPr>
        <w:tblW w:w="14325" w:type="dxa"/>
        <w:tblInd w:w="16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1910"/>
        <w:gridCol w:w="3317"/>
      </w:tblGrid>
      <w:tr>
        <w:tblPrEx>
          <w:tblW w:w="14325" w:type="dxa"/>
          <w:tblInd w:w="16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693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rPr>
              <w:t>专业名称</w:t>
            </w:r>
          </w:p>
        </w:tc>
        <w:tc>
          <w:tcPr>
            <w:tcW w:w="308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rPr>
              <w:t>学费标准（元/学年·学生）</w:t>
            </w:r>
          </w:p>
        </w:tc>
      </w:tr>
      <w:tr>
        <w:tblPrEx>
          <w:tblW w:w="14325" w:type="dxa"/>
          <w:tblInd w:w="165" w:type="dxa"/>
          <w:tblCellMar>
            <w:top w:w="15" w:type="dxa"/>
            <w:left w:w="15" w:type="dxa"/>
            <w:bottom w:w="15" w:type="dxa"/>
            <w:right w:w="15" w:type="dxa"/>
          </w:tblCellMar>
        </w:tblPrEx>
        <w:tc>
          <w:tcPr>
            <w:tcW w:w="69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汉语言文学、汉语国际教育、新闻学、秘书学、英语、日语</w:t>
            </w:r>
          </w:p>
        </w:tc>
        <w:tc>
          <w:tcPr>
            <w:tcW w:w="30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18000</w:t>
            </w:r>
          </w:p>
        </w:tc>
      </w:tr>
      <w:tr>
        <w:tblPrEx>
          <w:tblW w:w="14325" w:type="dxa"/>
          <w:tblInd w:w="165" w:type="dxa"/>
          <w:tblCellMar>
            <w:top w:w="15" w:type="dxa"/>
            <w:left w:w="15" w:type="dxa"/>
            <w:bottom w:w="15" w:type="dxa"/>
            <w:right w:w="15" w:type="dxa"/>
          </w:tblCellMar>
        </w:tblPrEx>
        <w:trPr>
          <w:trHeight w:val="1545"/>
        </w:trPr>
        <w:tc>
          <w:tcPr>
            <w:tcW w:w="69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学前教育、</w:t>
            </w:r>
            <w:r>
              <w:rPr>
                <w:rFonts w:ascii="SimSun" w:eastAsia="SimSun" w:hAnsi="SimSun" w:cs="SimSun"/>
                <w:b w:val="0"/>
                <w:bCs w:val="0"/>
                <w:i w:val="0"/>
                <w:iCs w:val="0"/>
                <w:smallCaps w:val="0"/>
                <w:color w:val="666666"/>
              </w:rPr>
              <w:t>会计学、财务管理、审计学、</w:t>
            </w:r>
            <w:r>
              <w:rPr>
                <w:rFonts w:ascii="SimSun" w:eastAsia="SimSun" w:hAnsi="SimSun" w:cs="SimSun"/>
                <w:b w:val="0"/>
                <w:bCs w:val="0"/>
                <w:i w:val="0"/>
                <w:iCs w:val="0"/>
                <w:smallCaps w:val="0"/>
                <w:color w:val="666666"/>
              </w:rPr>
              <w:t>资产评估、</w:t>
            </w:r>
            <w:r>
              <w:rPr>
                <w:rFonts w:ascii="SimSun" w:eastAsia="SimSun" w:hAnsi="SimSun" w:cs="SimSun"/>
                <w:b w:val="0"/>
                <w:bCs w:val="0"/>
                <w:i w:val="0"/>
                <w:iCs w:val="0"/>
                <w:smallCaps w:val="0"/>
                <w:color w:val="666666"/>
              </w:rPr>
              <w:t>工商管理、市场营销、国际经济与贸易、金融学、经济学、电子商务、旅游管理、酒店管理、文化产业管理、</w:t>
            </w:r>
            <w:r>
              <w:rPr>
                <w:rFonts w:ascii="SimSun" w:eastAsia="SimSun" w:hAnsi="SimSun" w:cs="SimSun"/>
                <w:b w:val="0"/>
                <w:bCs w:val="0"/>
                <w:i w:val="0"/>
                <w:iCs w:val="0"/>
                <w:smallCaps w:val="0"/>
                <w:color w:val="666666"/>
              </w:rPr>
              <w:t>会展经济与管理、</w:t>
            </w:r>
            <w:r>
              <w:rPr>
                <w:rFonts w:ascii="SimSun" w:eastAsia="SimSun" w:hAnsi="SimSun" w:cs="SimSun"/>
                <w:b w:val="0"/>
                <w:bCs w:val="0"/>
                <w:i w:val="0"/>
                <w:iCs w:val="0"/>
                <w:smallCaps w:val="0"/>
                <w:color w:val="666666"/>
              </w:rPr>
              <w:t>信息管理与信息系统、电子信息工程、计算机科学与技术、应用统计学、物联网工程</w:t>
            </w:r>
          </w:p>
        </w:tc>
        <w:tc>
          <w:tcPr>
            <w:tcW w:w="30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18500</w:t>
            </w:r>
          </w:p>
        </w:tc>
      </w:tr>
      <w:tr>
        <w:tblPrEx>
          <w:tblW w:w="14325" w:type="dxa"/>
          <w:tblInd w:w="165" w:type="dxa"/>
          <w:tblCellMar>
            <w:top w:w="15" w:type="dxa"/>
            <w:left w:w="15" w:type="dxa"/>
            <w:bottom w:w="15" w:type="dxa"/>
            <w:right w:w="15" w:type="dxa"/>
          </w:tblCellMar>
        </w:tblPrEx>
        <w:tc>
          <w:tcPr>
            <w:tcW w:w="69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NSimSun" w:eastAsia="NSimSun" w:hAnsi="NSimSun" w:cs="NSimSun"/>
                <w:b w:val="0"/>
                <w:bCs w:val="0"/>
                <w:i w:val="0"/>
                <w:iCs w:val="0"/>
                <w:smallCaps w:val="0"/>
                <w:color w:val="666666"/>
              </w:rPr>
              <w:t>软件工程</w:t>
            </w:r>
            <w:r>
              <w:rPr>
                <w:rFonts w:ascii="NSimSun" w:eastAsia="NSimSun" w:hAnsi="NSimSun" w:cs="NSimSun"/>
                <w:b w:val="0"/>
                <w:bCs w:val="0"/>
                <w:i w:val="0"/>
                <w:iCs w:val="0"/>
                <w:smallCaps w:val="0"/>
                <w:color w:val="666666"/>
              </w:rPr>
              <w:t>、</w:t>
            </w:r>
            <w:r>
              <w:rPr>
                <w:rFonts w:ascii="NSimSun" w:eastAsia="NSimSun" w:hAnsi="NSimSun" w:cs="NSimSun"/>
                <w:b w:val="0"/>
                <w:bCs w:val="0"/>
                <w:i w:val="0"/>
                <w:iCs w:val="0"/>
                <w:smallCaps w:val="0"/>
                <w:color w:val="666666"/>
              </w:rPr>
              <w:t>数据科学与大数据技术</w:t>
            </w:r>
          </w:p>
        </w:tc>
        <w:tc>
          <w:tcPr>
            <w:tcW w:w="30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22000</w:t>
            </w:r>
          </w:p>
        </w:tc>
      </w:tr>
      <w:tr>
        <w:tblPrEx>
          <w:tblW w:w="14325" w:type="dxa"/>
          <w:tblInd w:w="165" w:type="dxa"/>
          <w:tblCellMar>
            <w:top w:w="15" w:type="dxa"/>
            <w:left w:w="15" w:type="dxa"/>
            <w:bottom w:w="15" w:type="dxa"/>
            <w:right w:w="15" w:type="dxa"/>
          </w:tblCellMar>
        </w:tblPrEx>
        <w:tc>
          <w:tcPr>
            <w:tcW w:w="69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NSimSun" w:eastAsia="NSimSun" w:hAnsi="NSimSun" w:cs="NSimSun"/>
                <w:b w:val="0"/>
                <w:bCs w:val="0"/>
                <w:i w:val="0"/>
                <w:iCs w:val="0"/>
                <w:smallCaps w:val="0"/>
                <w:color w:val="666666"/>
              </w:rPr>
              <w:t>视觉传达设计、环境设计、产品设计</w:t>
            </w:r>
            <w:r>
              <w:rPr>
                <w:rFonts w:ascii="SimSun" w:eastAsia="SimSun" w:hAnsi="SimSun" w:cs="SimSun"/>
                <w:b w:val="0"/>
                <w:bCs w:val="0"/>
                <w:i w:val="0"/>
                <w:iCs w:val="0"/>
                <w:smallCaps w:val="0"/>
                <w:color w:val="666666"/>
              </w:rPr>
              <w:t>、动画、服装与服饰设计</w:t>
            </w:r>
          </w:p>
        </w:tc>
        <w:tc>
          <w:tcPr>
            <w:tcW w:w="30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22000</w:t>
            </w:r>
          </w:p>
        </w:tc>
      </w:tr>
      <w:tr>
        <w:tblPrEx>
          <w:tblW w:w="14325" w:type="dxa"/>
          <w:tblInd w:w="165" w:type="dxa"/>
          <w:tblCellMar>
            <w:top w:w="15" w:type="dxa"/>
            <w:left w:w="15" w:type="dxa"/>
            <w:bottom w:w="15" w:type="dxa"/>
            <w:right w:w="15" w:type="dxa"/>
          </w:tblCellMar>
        </w:tblPrEx>
        <w:tc>
          <w:tcPr>
            <w:tcW w:w="693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top"/>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NSimSun" w:eastAsia="NSimSun" w:hAnsi="NSimSun" w:cs="NSimSun"/>
                <w:b w:val="0"/>
                <w:bCs w:val="0"/>
                <w:i w:val="0"/>
                <w:iCs w:val="0"/>
                <w:smallCaps w:val="0"/>
                <w:color w:val="666666"/>
              </w:rPr>
              <w:t>护理学</w:t>
            </w:r>
            <w:r>
              <w:rPr>
                <w:rFonts w:ascii="NSimSun" w:eastAsia="NSimSun" w:hAnsi="NSimSun" w:cs="NSimSun"/>
                <w:b w:val="0"/>
                <w:bCs w:val="0"/>
                <w:i w:val="0"/>
                <w:iCs w:val="0"/>
                <w:smallCaps w:val="0"/>
                <w:color w:val="666666"/>
              </w:rPr>
              <w:t>、</w:t>
            </w:r>
            <w:r>
              <w:rPr>
                <w:rFonts w:ascii="NSimSun" w:eastAsia="NSimSun" w:hAnsi="NSimSun" w:cs="NSimSun"/>
                <w:b w:val="0"/>
                <w:bCs w:val="0"/>
                <w:i w:val="0"/>
                <w:iCs w:val="0"/>
                <w:smallCaps w:val="0"/>
                <w:color w:val="666666"/>
              </w:rPr>
              <w:t>助产学</w:t>
            </w:r>
          </w:p>
        </w:tc>
        <w:tc>
          <w:tcPr>
            <w:tcW w:w="308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rPr>
              <w:t>23000</w:t>
            </w:r>
          </w:p>
        </w:tc>
      </w:tr>
    </w:tbl>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b/>
          <w:bCs/>
          <w:color w:val="666666"/>
        </w:rPr>
        <w:t>七、毕业证书</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color w:val="666666"/>
        </w:rPr>
        <w:t>根据教育部有关规定，对符合毕业条件的毕业生，颁发云南大学旅游文化学院本科毕</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color w:val="666666"/>
        </w:rPr>
        <w:t>业证书，对符合学位授予条件的毕业生，颁发云南大学旅游文化学院学士学位证书。</w:t>
      </w:r>
    </w:p>
    <w:p>
      <w:pPr>
        <w:pBdr>
          <w:top w:val="none" w:sz="0" w:space="0" w:color="auto"/>
          <w:left w:val="none" w:sz="0" w:space="0" w:color="auto"/>
          <w:bottom w:val="none" w:sz="0" w:space="0" w:color="auto"/>
          <w:right w:val="none" w:sz="0" w:space="0" w:color="auto"/>
        </w:pBdr>
        <w:spacing w:before="0" w:after="0" w:line="420" w:lineRule="atLeast"/>
        <w:ind w:left="600" w:right="0"/>
        <w:rPr>
          <w:rFonts w:ascii="Microsoft YaHei" w:eastAsia="Microsoft YaHei" w:hAnsi="Microsoft YaHei" w:cs="Microsoft YaHei"/>
          <w:color w:val="666666"/>
          <w:sz w:val="21"/>
          <w:szCs w:val="21"/>
        </w:rPr>
      </w:pPr>
      <w:r>
        <w:rPr>
          <w:rFonts w:ascii="SimSun" w:eastAsia="SimSun" w:hAnsi="SimSun" w:cs="SimSun"/>
          <w:b/>
          <w:bCs/>
          <w:color w:val="666666"/>
        </w:rPr>
        <w:t>八、</w:t>
      </w:r>
      <w:r>
        <w:rPr>
          <w:rFonts w:ascii="SimSun" w:eastAsia="SimSun" w:hAnsi="SimSun" w:cs="SimSun"/>
          <w:b/>
          <w:bCs/>
          <w:color w:val="666666"/>
        </w:rPr>
        <w:t> </w:t>
      </w:r>
      <w:r>
        <w:rPr>
          <w:rFonts w:ascii="SimSun" w:eastAsia="SimSun" w:hAnsi="SimSun" w:cs="SimSun"/>
          <w:b/>
          <w:bCs/>
          <w:color w:val="666666"/>
        </w:rPr>
        <w:t>特别说明</w:t>
      </w:r>
    </w:p>
    <w:p>
      <w:pPr>
        <w:pBdr>
          <w:top w:val="none" w:sz="0" w:space="0" w:color="auto"/>
          <w:left w:val="none" w:sz="0" w:space="0" w:color="auto"/>
          <w:bottom w:val="none" w:sz="0" w:space="0" w:color="auto"/>
          <w:right w:val="none" w:sz="0" w:space="0" w:color="auto"/>
        </w:pBdr>
        <w:spacing w:before="0" w:after="0" w:line="315" w:lineRule="atLeast"/>
        <w:ind w:left="0" w:right="0" w:firstLine="480"/>
        <w:rPr>
          <w:rFonts w:ascii="Microsoft YaHei" w:eastAsia="Microsoft YaHei" w:hAnsi="Microsoft YaHei" w:cs="Microsoft YaHei"/>
          <w:color w:val="666666"/>
          <w:sz w:val="21"/>
          <w:szCs w:val="21"/>
        </w:rPr>
      </w:pPr>
      <w:r>
        <w:rPr>
          <w:rFonts w:ascii="SimSun" w:eastAsia="SimSun" w:hAnsi="SimSun" w:cs="SimSun"/>
          <w:b/>
          <w:bCs/>
          <w:color w:val="666666"/>
        </w:rPr>
        <w:t>本章程与国家法律、法规或上级部门有关政策相悖时，以国家法律、法规和上级部门</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b/>
          <w:bCs/>
          <w:color w:val="666666"/>
        </w:rPr>
        <w:t>政策为准。如发布虚假或误导性信息，本学院愿承担相关责任。</w:t>
      </w:r>
    </w:p>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color w:val="666666"/>
          <w:sz w:val="21"/>
          <w:szCs w:val="21"/>
        </w:rPr>
      </w:pPr>
      <w:r>
        <w:rPr>
          <w:rFonts w:ascii="SimSun" w:eastAsia="SimSun" w:hAnsi="SimSun" w:cs="SimSun"/>
          <w:b/>
          <w:bCs/>
          <w:color w:val="666666"/>
        </w:rPr>
        <w:t>九、联系方式</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rPr>
        <w:t>招生办公室电话：</w:t>
      </w:r>
      <w:r>
        <w:rPr>
          <w:rFonts w:ascii="SimSun" w:eastAsia="SimSun" w:hAnsi="SimSun" w:cs="SimSun"/>
          <w:color w:val="666666"/>
        </w:rPr>
        <w:t>0888</w:t>
      </w:r>
      <w:r>
        <w:rPr>
          <w:rFonts w:ascii="SimSun" w:eastAsia="SimSun" w:hAnsi="SimSun" w:cs="SimSun"/>
          <w:color w:val="666666"/>
        </w:rPr>
        <w:t>—</w:t>
      </w:r>
      <w:r>
        <w:rPr>
          <w:rFonts w:ascii="Calibri" w:eastAsia="Calibri" w:hAnsi="Calibri" w:cs="Calibri"/>
          <w:color w:val="666666"/>
        </w:rPr>
        <w:t>5135636</w:t>
      </w:r>
      <w:r>
        <w:rPr>
          <w:rFonts w:ascii="SimSun" w:eastAsia="SimSun" w:hAnsi="SimSun" w:cs="SimSun"/>
          <w:color w:val="666666"/>
        </w:rPr>
        <w:t>、</w:t>
      </w:r>
      <w:r>
        <w:rPr>
          <w:rFonts w:ascii="Calibri" w:eastAsia="Calibri" w:hAnsi="Calibri" w:cs="Calibri"/>
          <w:color w:val="666666"/>
        </w:rPr>
        <w:t>5135638</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rPr>
        <w:t>学院网址：</w:t>
      </w:r>
      <w:r>
        <w:rPr>
          <w:rFonts w:ascii="SimSun" w:eastAsia="SimSun" w:hAnsi="SimSun" w:cs="SimSun"/>
          <w:color w:val="666666"/>
        </w:rPr>
        <w:t>http//www.lywhxy.com    </w:t>
      </w:r>
      <w:r>
        <w:rPr>
          <w:rFonts w:ascii="SimSun" w:eastAsia="SimSun" w:hAnsi="SimSun" w:cs="SimSun"/>
          <w:color w:val="666666"/>
        </w:rPr>
        <w:t>电子信箱：</w:t>
      </w:r>
      <w:r>
        <w:rPr>
          <w:rFonts w:ascii="SimSun" w:eastAsia="SimSun" w:hAnsi="SimSun" w:cs="SimSun"/>
          <w:color w:val="666666"/>
        </w:rPr>
        <w:t>ydly</w:t>
      </w:r>
      <w:r>
        <w:rPr>
          <w:rFonts w:ascii="Calibri" w:eastAsia="Calibri" w:hAnsi="Calibri" w:cs="Calibri"/>
          <w:color w:val="666666"/>
        </w:rPr>
        <w:t>_zsb@163.com</w:t>
      </w:r>
    </w:p>
    <w:p>
      <w:pPr>
        <w:pBdr>
          <w:top w:val="none" w:sz="0" w:space="0" w:color="auto"/>
          <w:left w:val="none" w:sz="0" w:space="0" w:color="auto"/>
          <w:bottom w:val="none" w:sz="0" w:space="0" w:color="auto"/>
          <w:right w:val="none" w:sz="0" w:space="0" w:color="auto"/>
        </w:pBdr>
        <w:spacing w:before="0" w:after="0" w:line="315" w:lineRule="atLeast"/>
        <w:ind w:left="0" w:right="0" w:firstLine="600"/>
        <w:rPr>
          <w:rFonts w:ascii="Microsoft YaHei" w:eastAsia="Microsoft YaHei" w:hAnsi="Microsoft YaHei" w:cs="Microsoft YaHei"/>
          <w:color w:val="666666"/>
          <w:sz w:val="21"/>
          <w:szCs w:val="21"/>
        </w:rPr>
      </w:pPr>
      <w:r>
        <w:rPr>
          <w:rFonts w:ascii="SimSun" w:eastAsia="SimSun" w:hAnsi="SimSun" w:cs="SimSun"/>
          <w:color w:val="666666"/>
        </w:rPr>
        <w:t>地址：云南省丽江市古城区玉泉路</w:t>
      </w:r>
      <w:r>
        <w:rPr>
          <w:rFonts w:ascii="SimSun" w:eastAsia="SimSun" w:hAnsi="SimSun" w:cs="SimSun"/>
          <w:color w:val="666666"/>
        </w:rPr>
        <w:t>1</w:t>
      </w:r>
      <w:r>
        <w:rPr>
          <w:rFonts w:ascii="SimSun" w:eastAsia="SimSun" w:hAnsi="SimSun" w:cs="SimSun"/>
          <w:color w:val="666666"/>
        </w:rPr>
        <w:t>号    邮编：</w:t>
      </w:r>
      <w:r>
        <w:rPr>
          <w:rFonts w:ascii="Calibri" w:eastAsia="Calibri" w:hAnsi="Calibri" w:cs="Calibri"/>
          <w:color w:val="666666"/>
        </w:rPr>
        <w:t>674199</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云南能源职业技术学院</w:t>
        </w:r>
        <w:r>
          <w:rPr>
            <w:rFonts w:ascii="Times New Roman" w:eastAsia="Times New Roman" w:hAnsi="Times New Roman" w:cs="Times New Roman"/>
            <w:color w:val="0000EE"/>
            <w:u w:val="single" w:color="0000EE"/>
          </w:rPr>
          <w:t xml:space="preserve"> 2019</w:t>
        </w:r>
        <w:r>
          <w:rPr>
            <w:rFonts w:ascii="SimSun" w:eastAsia="SimSun" w:hAnsi="SimSun" w:cs="SimSun"/>
            <w:color w:val="0000EE"/>
            <w:u w:val="single" w:color="0000EE"/>
          </w:rPr>
          <w:t>年三年制大专招生章程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昆明医科大学海源学院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云南艺术学院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年本科招生专业考试公告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云南经济管理学院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云南大学滇池学院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年普高类招生章程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云南艺术学院文华学院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昆明医科大学海源学院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丽江文化旅游学院（原云南大学旅游文化学院）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昆明理工大学津桥学院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云南工商学院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滇西应用技术大学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安徽中医药大学举办第十九届青年教师教学基本功竞赛</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6.html" TargetMode="External" /><Relationship Id="rId11" Type="http://schemas.openxmlformats.org/officeDocument/2006/relationships/hyperlink" Target="http://www.gk114.com/a/gxzs/zszc/yunnan/2022/0609/22725.html" TargetMode="External" /><Relationship Id="rId12" Type="http://schemas.openxmlformats.org/officeDocument/2006/relationships/hyperlink" Target="http://www.gk114.com/a/gxzs/zszc/yunnan/2022/0609/22723.html" TargetMode="External" /><Relationship Id="rId13" Type="http://schemas.openxmlformats.org/officeDocument/2006/relationships/hyperlink" Target="http://www.gk114.com/a/gxzs/zszc/yunnan/2022/0609/22721.html" TargetMode="External" /><Relationship Id="rId14" Type="http://schemas.openxmlformats.org/officeDocument/2006/relationships/hyperlink" Target="http://www.gk114.com/a/gxzs/zszc/yunnan/2022/0609/22720.html" TargetMode="External" /><Relationship Id="rId15" Type="http://schemas.openxmlformats.org/officeDocument/2006/relationships/hyperlink" Target="http://www.gk114.com/a/gxzs/zszc/yunnan/2022/0609/22718.html" TargetMode="External" /><Relationship Id="rId16" Type="http://schemas.openxmlformats.org/officeDocument/2006/relationships/hyperlink" Target="http://www.gk114.com/a/gxzs/zszc/yunnan/2021/0605/19719.html" TargetMode="External" /><Relationship Id="rId17" Type="http://schemas.openxmlformats.org/officeDocument/2006/relationships/hyperlink" Target="http://www.gk114.com/a/gxzs/zszc/yunnan/2021/0605/19718.html" TargetMode="External" /><Relationship Id="rId18" Type="http://schemas.openxmlformats.org/officeDocument/2006/relationships/hyperlink" Target="http://www.gk114.com/plus/view.php?aid=9721"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yunnan/2019/0611/9714.html" TargetMode="External" /><Relationship Id="rId5" Type="http://schemas.openxmlformats.org/officeDocument/2006/relationships/hyperlink" Target="http://www.gk114.com/a/gxzs/zszc/yunnan/2019/0611/9716.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1225/23945.html" TargetMode="External" /><Relationship Id="rId8" Type="http://schemas.openxmlformats.org/officeDocument/2006/relationships/hyperlink" Target="http://www.gk114.com/a/gxzs/zszc/yunnan/2022/0609/22728.html" TargetMode="External" /><Relationship Id="rId9" Type="http://schemas.openxmlformats.org/officeDocument/2006/relationships/hyperlink" Target="http://www.gk114.com/a/gxzs/zszc/yunnan/2022/0609/2272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