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井冈山大学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井冈山大学全日制普通本（专）科招生工作，确保学校招生工作顺利进行，切实维护学校和考生的合法权益，根据《中华人民共和国教育法》、《中华人民共和国高等教育法》等有关法律和教育部相关规定，结合学校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学校名称为井冈山大学，国标代码为</w:t>
      </w:r>
      <w:r>
        <w:rPr>
          <w:rFonts w:ascii="Times New Roman" w:eastAsia="Times New Roman" w:hAnsi="Times New Roman" w:cs="Times New Roman"/>
        </w:rPr>
        <w:t>10419</w:t>
      </w:r>
      <w:r>
        <w:rPr>
          <w:rFonts w:ascii="SimSun" w:eastAsia="SimSun" w:hAnsi="SimSun" w:cs="SimSun"/>
        </w:rPr>
        <w:t>，校址位于江西省吉安市青原区学苑路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井冈山大学是江西省人民政府和教育部共同重点支持建设高校，是同济大学对口支援高校。学校的上级行政主管部门是江西省教育厅。办学层次和类型为公办本科全日制普通高等学校。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工程，严格遵循公平、公正、公开、全面衡量、综合评价、择优录取的原则，接受学校纪检监察部门、考生、家长、媒体及社会各界的监督。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井冈山大学培养的本（专）科生在规定年限内达到所在专业毕业要求者，颁发井冈山大学本（专）科毕业证书；符合学校学位授予规定者，颁发井冈山大学学士学位证书。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井冈山大学设立招生工作领导小组，由校领导和有关部门负责人组成，负责制定学校招生政策，研究、决定招生重大事项。招生工作领导小组下设办公室，办公室设在招生就业指导处。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井冈山大学招生就业指导处具体负责日常招生录取工作。纪检、监察部门具体负责招生监察工作。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井冈山大学招生就业指导处根据需要组建各省（直辖市、自治区）招生工作组，负责招生宣传、咨询和协助招生录取工作。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井冈山大学面向全国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个省（直辖市、自治区）及港澳台地区招生。各省（直辖市、自治区）招生计划、招生专业等信息，以考生所在省（直辖市、自治区）高考招生职能部门公布的数据为准。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在国家方针政策的指导和教育部、江西省教育厅的统筹安排下，根据经济社会发展对人才的需求、生源质量、区域布局和办学条件等实际情况，确定分省分专业招生计划。报教育部、江西省教育厅审批后由各省（直辖市、自治区）招生职能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井冈山大学未做分省编制的其他类计划，用于招收艺术类专业、运动训练专业、高水平运动员、少数民族预科班及调节各省（直辖市、自治区）生源不平衡情况。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井冈山大学按国家核定的年度招生总计划数的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编制预留计划，主要用于录取平行志愿超出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比例进档考生以及调节各省高考上线考生生源不平衡的问题。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井冈山大学根据在各省（直辖市、自治区）的招生计划和考生报考情况，确定调档比例和调档分数线，调档比例一般控制在招生计划的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井冈山大学认可生源省（直辖市、自治区）对考生的政策性加分。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文史、理工类专业不设专业间分数级差，进档考生确定录取专业（类）原则如下：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实施平行志愿投档的生源省（直辖市、自治区），按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分数优先，遵循专业志愿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实施梯度志愿投档的生源省（直辖市、自治区），按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志愿优先，从高分到低分录取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对无法满足专业志愿的考生，如服从专业调剂的，则由学校调剂到未录满的专业；对不服从专业调剂的，作退档处理；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专业（类）录取过程中，若出现投档成绩相同的情况，优先录取实际考分高的考生；投档成绩与实考分均相同时，按照考生所在省（市、自治区）招生主管部门的规定政策择优录取。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梯度志愿投档的省份（或批次），当井冈山大学第一志愿生源不足时，可接收非第一志愿考生，其分数应不低于生源省（直辖市、自治区）同批次录取最低控制线。若经征集志愿仍不能完成计划，剩余计划调至生源充足的省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有关专业的报考要求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英语、商务英语专业要求口试成绩在良好（含良好）以上，英语笔试成绩在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分（含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分）以上；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日语、德语、西班牙语等专业要求英语口试成绩在及格（含及格）以上，英语笔试成绩在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分（含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分）以上；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汉语国际教育专业要求英语单科成绩在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分（含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分）以上；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建筑学的考生应具有一定的美术基础（不要求提供徒手画）；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护理学专业本科，男生身高要求不低于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米，女生身高要求不低于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米；体育教育专业本科，男生身高要求不低于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米，女生身高要求不低于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艺术类、体育类专业的录取原则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设置了艺术类专业测试点的省（直辖市、自治区），录取时使用学校专业测试合格成绩。要求考生达到生源所在省（直辖市、自治区）艺术类文化投档分数线，文理科考生一并排序，按专业成绩从高到低录取。若计划数最后一个遇上专业成绩并列，则按文化成绩从高分到低分录取，若文化成绩还相同，则以生源省（直辖市、自治区）投档排序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福建省艺术类本科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一档多投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录取模式，按该省规定办法执行。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未设艺术类专业测试点的省（直辖市、自治区），录取时使用生源省（直辖市、自治区）艺术类专业本科联考成绩，排序原则按各省（直辖市、自治区）高考招生职能部门公布的录取办法执行。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体育类专业的录取，要求考生达到各省（直辖市、自治区）体育类文化投档分数线，再按专业成绩从高分到低分录取。若计划数最后一个遇上专业成绩并列，则按文化成绩从高分到低分录取，若文化成绩还相同，则以生源省（直辖市、自治区）投档排序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国家专项计划、地方专项计划、苏区专项计划、少数民族预科班、港澳台联招、中外合作办学、职教联合办学的录取按国家相关政策执行。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上海市、浙江省高考综合改革试点省（市），录取办法按该省（市）新高考录取政策执行，考生所填报的专业（或专业类）志愿须满足我校对该专业（或专业类）的高中学业水平考试科目（选考）要求。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学校公共外语语种为英语，非英语语种的考生填报志愿时应慎重。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学校录取的考生入学必须在规定的时间内报到，录取的考生入学时需进行资格复查，若发现不符合招生条件或违反国家相关规定的考生，将取消其入学资格并作退录办理。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学校在招生录取中不设男女比例限制。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学校录取考生的体检标准，按教育部、卫生部、中国残疾人联合会印发的《普通高等学校招生体检工作指导意见》及有关补充规定执行。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收费和奖助学制度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井冈山大学对学生的各项收费严格按江西省发改委、财政厅、教育厅、物价局等部门规定的标准执行。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对家庭经济困难学生有资助政策，在新生入学报到时为家庭经济困难新生开设绿色通道，确保每一位家庭经济困难并提出申请的学生能获得不同方式的资助，以助其完成学业。学校对学业等优秀的学生给予奖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井冈山大学不委托任何中介机构或个人进行招生工作，不收取国家规定之外的任何费用。对以学校名义进行非法招生宣传等活动的中介机构或个人，学校保留依法追究其责任的权利。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本章程公布后，如遇部分省（直辖市、自治区）高考招生政策调整，井冈山大学将根据变化制定符合政策的录取办法，并另行公布。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本章程未尽事宜，由井冈山大学招生职能部门与各省（直辖市、自治区）高考招生职能部门协商解决。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本章程自发布之日起执行，由井冈山大学招生就业指导处负责解释。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学校招生咨询及联系方式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http://zs.jgsu.edu.cn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0796-8100735</w:t>
      </w:r>
      <w:r>
        <w:rPr>
          <w:rFonts w:ascii="SimSun" w:eastAsia="SimSun" w:hAnsi="SimSun" w:cs="SimSun"/>
        </w:rPr>
        <w:t>（传真）、</w:t>
      </w:r>
      <w:r>
        <w:rPr>
          <w:rFonts w:ascii="Times New Roman" w:eastAsia="Times New Roman" w:hAnsi="Times New Roman" w:cs="Times New Roman"/>
        </w:rPr>
        <w:t>8110323</w:t>
      </w:r>
      <w:r>
        <w:rPr>
          <w:rFonts w:ascii="SimSun" w:eastAsia="SimSun" w:hAnsi="SimSun" w:cs="SimSun"/>
        </w:rPr>
        <w:t>（传真）、</w:t>
      </w:r>
      <w:r>
        <w:rPr>
          <w:rFonts w:ascii="Times New Roman" w:eastAsia="Times New Roman" w:hAnsi="Times New Roman" w:cs="Times New Roman"/>
        </w:rPr>
        <w:t xml:space="preserve">8116983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通讯地址：江西省吉安市青原区学苑路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号招生就业指导处，邮政编码：</w:t>
      </w:r>
      <w:r>
        <w:rPr>
          <w:rFonts w:ascii="Times New Roman" w:eastAsia="Times New Roman" w:hAnsi="Times New Roman" w:cs="Times New Roman"/>
        </w:rPr>
        <w:t xml:space="preserve">343009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纪检监察部门申诉举报电话：</w:t>
      </w:r>
      <w:r>
        <w:rPr>
          <w:rFonts w:ascii="Times New Roman" w:eastAsia="Times New Roman" w:hAnsi="Times New Roman" w:cs="Times New Roman"/>
        </w:rPr>
        <w:t xml:space="preserve">0796-8100464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宜春学院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江西司法警官职业学院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江西工程学院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九江职业技术学院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九江职业大学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南昌工程学院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江西医学高等专科学校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宜春学院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江西师范大学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年本科生招生章程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xi/2019/0222/6698.html" TargetMode="External" /><Relationship Id="rId11" Type="http://schemas.openxmlformats.org/officeDocument/2006/relationships/hyperlink" Target="http://www.gk114.com/a/gxzs/zszc/jiangxi/2019/0222/6697.html" TargetMode="External" /><Relationship Id="rId12" Type="http://schemas.openxmlformats.org/officeDocument/2006/relationships/hyperlink" Target="http://www.gk114.com/a/gxzs/zszc/jiangxi/2019/0222/6696.html" TargetMode="External" /><Relationship Id="rId13" Type="http://schemas.openxmlformats.org/officeDocument/2006/relationships/hyperlink" Target="http://www.gk114.com/a/gxzs/zszc/jiangxi/2019/0222/6695.html" TargetMode="External" /><Relationship Id="rId14" Type="http://schemas.openxmlformats.org/officeDocument/2006/relationships/hyperlink" Target="http://www.gk114.com/a/gxzs/zszc/jiangxi/2019/0222/6691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xi/2019/0222/6692.html" TargetMode="External" /><Relationship Id="rId5" Type="http://schemas.openxmlformats.org/officeDocument/2006/relationships/hyperlink" Target="http://www.gk114.com/a/gxzs/zszc/jiangxi/2019/0222/6694.html" TargetMode="External" /><Relationship Id="rId6" Type="http://schemas.openxmlformats.org/officeDocument/2006/relationships/hyperlink" Target="http://www.gk114.com/a/gxzs/zszc/jiangxi/" TargetMode="External" /><Relationship Id="rId7" Type="http://schemas.openxmlformats.org/officeDocument/2006/relationships/hyperlink" Target="http://www.gk114.com/a/gxzs/zszc/jiangxi/2019/0222/6701.html" TargetMode="External" /><Relationship Id="rId8" Type="http://schemas.openxmlformats.org/officeDocument/2006/relationships/hyperlink" Target="http://www.gk114.com/a/gxzs/zszc/jiangxi/2019/0222/6700.html" TargetMode="External" /><Relationship Id="rId9" Type="http://schemas.openxmlformats.org/officeDocument/2006/relationships/hyperlink" Target="http://www.gk114.com/a/gxzs/zszc/jiangxi/2019/0222/66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