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佳木斯大学召开期初视频工作会议</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部署统筹疫情防控与学期初工作</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2020-03-02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上午，佳木斯大学召开期初视频工作会议，部署统筹疫情防控与学期初工作。党委书记、校疫情防控领导小组组长邱洪斌作工作部署，他强调，各基层党委和各级干部要把统筹新冠肺炎疫情防控和学校事业发展两项工作牢牢抓在手上，两手抓，两手都要硬，力争把疫情带来的影响和损失降到最低，取得佳木斯大学</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规划圆满收官和三年振兴行动计划落实全年工作任务的全面胜利。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校长、校疫情防控领导小组组长孟上九主持会议。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会上，党委常委、副校长、校疫情防控领导小组常务副组长朱玉珠就疫情防控以来开展的主要工作和下步工作安排作了通报。各位分管校领导分别就学期初拟开展的工作进行了部署和安排。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邱洪斌在讲话中说，面对严峻的新冠肺炎疫情，按照上级要求，目前佳木斯大学正处于正常开学、延期返校的特殊时期，全校上下既要严格执行上级防疫的要求，又要统筹考虑学期初各项工作及事业发展。自</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起全校将进行线上教学，学生返校时间将严格遵照教育部和省教育厅有关要求执行，教工作息时间同正常上班相同。要实行差异化上岗，除特殊岗位、工作需要和部分需要到实验室工作的人员外，原则上不要求教职工到校到岗办公。要做好人员管控、信息报备，限时限人、注意分散，做好防护。鼓励教工居家办公、网上办公，利用软件召开视频会议等形式，积极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邱洪斌强调，当前，疫情防控正处于最吃劲的关键时刻，我们要继续高度警惕，坚决克服麻痹思想、厌战情绪、侥幸心理及松劲心态，否则将带来严重后果，甚至前功尽弃。经过全校师生共同努力，佳木斯大学在册师生及离退休人员目前尚无一例感染新冠肺炎和疑似病例，要珍惜成绩，保持战果。全校各单位和全体教职员工要提高政治站位，坚定必胜信念，毫不放松，抓紧抓实抓细各项防控工作。要加强督导，发现问题要依规从严从快从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一是要继续加强人员管控，住在人才公寓的教工暂时不要返校；外地居住的教工，身在疫区当地有要求不允许离开的、身处省内外</w:t>
      </w:r>
      <w:r>
        <w:rPr>
          <w:rFonts w:ascii="Times New Roman" w:eastAsia="Times New Roman" w:hAnsi="Times New Roman" w:cs="Times New Roman"/>
        </w:rPr>
        <w:t>13</w:t>
      </w:r>
      <w:r>
        <w:rPr>
          <w:rFonts w:ascii="SimSun" w:eastAsia="SimSun" w:hAnsi="SimSun" w:cs="SimSun"/>
        </w:rPr>
        <w:t>个疫情严重地区的，要延迟返校；其他人员可陆续返校，要正确分析返程风险及本人健康情况，严格实行居家隔离</w:t>
      </w:r>
      <w:r>
        <w:rPr>
          <w:rFonts w:ascii="Times New Roman" w:eastAsia="Times New Roman" w:hAnsi="Times New Roman" w:cs="Times New Roman"/>
        </w:rPr>
        <w:t>14</w:t>
      </w:r>
      <w:r>
        <w:rPr>
          <w:rFonts w:ascii="SimSun" w:eastAsia="SimSun" w:hAnsi="SimSun" w:cs="SimSun"/>
        </w:rPr>
        <w:t>天方可到校上班；要严控因公因私进京人员，必须进京的要向校主要领导批准报备，对瞒报谎报等违规行为要依法严肃处理。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二是要继续实行校园封闭管理，食堂、体育场馆、会议中心等所有公共场所关闭。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三是要加强教职工的教育服务管理，切实做好防护，坚决做到不聚集，同时积极引导加强体育锻炼和心理疏导。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就上半年将要开展的部分工作，他指出，一要做好全校</w:t>
      </w:r>
      <w:r>
        <w:rPr>
          <w:rFonts w:ascii="Times New Roman" w:eastAsia="Times New Roman" w:hAnsi="Times New Roman" w:cs="Times New Roman"/>
        </w:rPr>
        <w:t>2019</w:t>
      </w:r>
      <w:r>
        <w:rPr>
          <w:rFonts w:ascii="SimSun" w:eastAsia="SimSun" w:hAnsi="SimSun" w:cs="SimSun"/>
        </w:rPr>
        <w:t>年工作总结和</w:t>
      </w:r>
      <w:r>
        <w:rPr>
          <w:rFonts w:ascii="Times New Roman" w:eastAsia="Times New Roman" w:hAnsi="Times New Roman" w:cs="Times New Roman"/>
        </w:rPr>
        <w:t>2020</w:t>
      </w:r>
      <w:r>
        <w:rPr>
          <w:rFonts w:ascii="SimSun" w:eastAsia="SimSun" w:hAnsi="SimSun" w:cs="SimSun"/>
        </w:rPr>
        <w:t>年工作要点编制工作，各单位要集思广益、深入研究，并形成全校重点工作清单。二要启动</w:t>
      </w:r>
      <w:r>
        <w:rPr>
          <w:rFonts w:ascii="Times New Roman" w:eastAsia="Times New Roman" w:hAnsi="Times New Roman" w:cs="Times New Roman"/>
        </w:rPr>
        <w:t xml:space="preserve"> “</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规划编制工作，要加强学习调研，形成行文科学严谨、目标鼓舞人心、措施可行的规划。三要继续推进</w:t>
      </w:r>
      <w:r>
        <w:rPr>
          <w:rFonts w:ascii="Times New Roman" w:eastAsia="Times New Roman" w:hAnsi="Times New Roman" w:cs="Times New Roman"/>
        </w:rPr>
        <w:t>“</w:t>
      </w:r>
      <w:r>
        <w:rPr>
          <w:rFonts w:ascii="SimSun" w:eastAsia="SimSun" w:hAnsi="SimSun" w:cs="SimSun"/>
        </w:rPr>
        <w:t>双代会</w:t>
      </w:r>
      <w:r>
        <w:rPr>
          <w:rFonts w:ascii="Times New Roman" w:eastAsia="Times New Roman" w:hAnsi="Times New Roman" w:cs="Times New Roman"/>
        </w:rPr>
        <w:t>”</w:t>
      </w:r>
      <w:r>
        <w:rPr>
          <w:rFonts w:ascii="SimSun" w:eastAsia="SimSun" w:hAnsi="SimSun" w:cs="SimSun"/>
        </w:rPr>
        <w:t>的相关筹备工作，力争在</w:t>
      </w:r>
      <w:r>
        <w:rPr>
          <w:rFonts w:ascii="Times New Roman" w:eastAsia="Times New Roman" w:hAnsi="Times New Roman" w:cs="Times New Roman"/>
        </w:rPr>
        <w:t>4</w:t>
      </w:r>
      <w:r>
        <w:rPr>
          <w:rFonts w:ascii="SimSun" w:eastAsia="SimSun" w:hAnsi="SimSun" w:cs="SimSun"/>
        </w:rPr>
        <w:t>月份召开。四要采取合适方式，尽快召开全校期初工作会议。五要启动制度建设年工作，全面梳理各项制度，形成相关工作方案。六要实施年度考核和政治生态考核工作。七要同步推进党风廉政建设、主题教育整改、政治生态建设、意识形态、安全等工作。八要倒排工期、有序推进后勤整改、维修、基本建设、爱国卫生运动等后勤工作。九要继续落实六个专题会议精神，按照三年振兴行动计划目标，抓好人事、职称、校企改革等专项改革，全面推进综合改革。十要积极谋划、认真研究，统筹推进教学、学生、招生、学科、科研等工作，特别是要加强对线上教学的指导、维护、监管，保证效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最后，邱洪斌强调，非常时期，非常之责。学校要加强顶层设计，科学谋划，狠抓落实，严肃问责。各级干部要提高政治站位，增强工作的自觉性和主动性，创造性开展工作；要集中时间和力量，加强学习、深入思考，勤勉踏实工作，实现各项事业开好局、起好步，工作上水平、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孟上九在讲话中要求，全校各单位和各级干部要认真贯彻会议讲话精神，在特殊时期做到标准不降、干劲不减，按照年初工作要点，主动认领，把在抗击疫情中体现的攻坚克难精神融入工作中，扎实推进好学期初各项工作，努力实现三年振兴行动计划收官之年的奋斗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各学院、直属单位、机关各部门党政主要负责人通过钉钉平台参加了视频会议。</w:t>
      </w: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5476875" cy="3048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76875" cy="30480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黑龙江科技大学国际教育学院采取四项措施保证新学期第一课质量</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年上海师范大学春季招生结果公示</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17/22187.html" TargetMode="External" /><Relationship Id="rId16" Type="http://schemas.openxmlformats.org/officeDocument/2006/relationships/hyperlink" Target="http://www.gk114.com/a/gxzs/zszc/shanghai/2022/0417/22186.html" TargetMode="External" /><Relationship Id="rId17" Type="http://schemas.openxmlformats.org/officeDocument/2006/relationships/hyperlink" Target="http://www.gk114.com/a/gxzs/zszc/shanghai/2022/0407/22087.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ghai/2020/0302/15789.html" TargetMode="External" /><Relationship Id="rId6" Type="http://schemas.openxmlformats.org/officeDocument/2006/relationships/hyperlink" Target="http://www.gk114.com/a/gxzs/zszc/shanghai/2020/0326/16081.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