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兰州交通大学博文学院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根据《中华人民共和国教育法》、《中华人民共和国高等教育法》和《独立学院设置与管理办法》（教育部第</w:t>
      </w:r>
      <w:r>
        <w:rPr>
          <w:rFonts w:ascii="Times New Roman" w:eastAsia="Times New Roman" w:hAnsi="Times New Roman" w:cs="Times New Roman"/>
        </w:rPr>
        <w:t>26</w:t>
      </w:r>
      <w:r>
        <w:rPr>
          <w:rFonts w:ascii="SimSun" w:eastAsia="SimSun" w:hAnsi="SimSun" w:cs="SimSun"/>
        </w:rPr>
        <w:t>号令）及教育部关于做好普通高等学校招生工作的有关精神，制定本章程。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学院名称：兰州交通大学博文学院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部标代码：</w:t>
      </w:r>
      <w:r>
        <w:rPr>
          <w:rFonts w:ascii="Times New Roman" w:eastAsia="Times New Roman" w:hAnsi="Times New Roman" w:cs="Times New Roman"/>
        </w:rPr>
        <w:t xml:space="preserve">13514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主管部门：甘肃省教育厅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学院地址：兰州市和平开发区薇乐大道</w:t>
      </w:r>
      <w:r>
        <w:rPr>
          <w:rFonts w:ascii="Times New Roman" w:eastAsia="Times New Roman" w:hAnsi="Times New Roman" w:cs="Times New Roman"/>
        </w:rPr>
        <w:t>311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730101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学院网址：</w:t>
      </w:r>
      <w:r>
        <w:rPr>
          <w:rFonts w:ascii="Times New Roman" w:eastAsia="Times New Roman" w:hAnsi="Times New Roman" w:cs="Times New Roman"/>
        </w:rPr>
        <w:t xml:space="preserve">http://www.bowenedu.cn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电子邮件：</w:t>
      </w:r>
      <w:r>
        <w:rPr>
          <w:rFonts w:ascii="Times New Roman" w:eastAsia="Times New Roman" w:hAnsi="Times New Roman" w:cs="Times New Roman"/>
        </w:rPr>
        <w:t xml:space="preserve">bwxy@bowenedu.cn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招生联系电话：</w:t>
      </w:r>
      <w:r>
        <w:rPr>
          <w:rFonts w:ascii="Times New Roman" w:eastAsia="Times New Roman" w:hAnsi="Times New Roman" w:cs="Times New Roman"/>
        </w:rPr>
        <w:t xml:space="preserve"> 0931—5272600    0931—4511096</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院</w:t>
      </w:r>
      <w:r>
        <w:rPr>
          <w:rFonts w:ascii="Times New Roman" w:eastAsia="Times New Roman" w:hAnsi="Times New Roman" w:cs="Times New Roman"/>
        </w:rPr>
        <w:t xml:space="preserve"> </w:t>
      </w:r>
      <w:r>
        <w:rPr>
          <w:rFonts w:ascii="SimSun" w:eastAsia="SimSun" w:hAnsi="SimSun" w:cs="SimSun"/>
        </w:rPr>
        <w:t>概</w:t>
      </w:r>
      <w:r>
        <w:rPr>
          <w:rFonts w:ascii="Times New Roman" w:eastAsia="Times New Roman" w:hAnsi="Times New Roman" w:cs="Times New Roman"/>
        </w:rPr>
        <w:t xml:space="preserve"> </w:t>
      </w:r>
      <w:r>
        <w:rPr>
          <w:rFonts w:ascii="SimSun" w:eastAsia="SimSun" w:hAnsi="SimSun" w:cs="SimSun"/>
        </w:rPr>
        <w:t>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兰州交通大学博文学院成立于</w:t>
      </w:r>
      <w:r>
        <w:rPr>
          <w:rFonts w:ascii="Times New Roman" w:eastAsia="Times New Roman" w:hAnsi="Times New Roman" w:cs="Times New Roman"/>
        </w:rPr>
        <w:t>2002</w:t>
      </w:r>
      <w:r>
        <w:rPr>
          <w:rFonts w:ascii="SimSun" w:eastAsia="SimSun" w:hAnsi="SimSun" w:cs="SimSun"/>
        </w:rPr>
        <w:t>年，</w:t>
      </w:r>
      <w:r>
        <w:rPr>
          <w:rFonts w:ascii="Times New Roman" w:eastAsia="Times New Roman" w:hAnsi="Times New Roman" w:cs="Times New Roman"/>
        </w:rPr>
        <w:t>2004</w:t>
      </w:r>
      <w:r>
        <w:rPr>
          <w:rFonts w:ascii="SimSun" w:eastAsia="SimSun" w:hAnsi="SimSun" w:cs="SimSun"/>
        </w:rPr>
        <w:t>年被教育部确认为甘肃省首批独立学院，属本科层次的全日制普通高等学校。学院招生纳入国家普通高等学校统招计划，面向全国招生。学生学习期满成绩合格者，颁发兰州交通大学博文学院的毕业证书，符合学士学位授予条件者，颁发兰州交通大学博文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学院成立由院领导和有关职能部门负责人组成的招生工作领导小组，全面负责贯彻执行教育部和有关省、自治区、直辖市招生委员会的有关政策。招生就业处为学院招生常设机构。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学院以工科为主，文、理、经、管、艺多学科相结合，现有九个系，</w:t>
      </w:r>
      <w:r>
        <w:rPr>
          <w:rFonts w:ascii="Times New Roman" w:eastAsia="Times New Roman" w:hAnsi="Times New Roman" w:cs="Times New Roman"/>
        </w:rPr>
        <w:t>40</w:t>
      </w:r>
      <w:r>
        <w:rPr>
          <w:rFonts w:ascii="SimSun" w:eastAsia="SimSun" w:hAnsi="SimSun" w:cs="SimSun"/>
        </w:rPr>
        <w:t>个本科专业招生。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w:t>
      </w:r>
      <w:r>
        <w:rPr>
          <w:rFonts w:ascii="Times New Roman" w:eastAsia="Times New Roman" w:hAnsi="Times New Roman" w:cs="Times New Roman"/>
        </w:rPr>
        <w:t xml:space="preserve"> </w:t>
      </w:r>
      <w:r>
        <w:rPr>
          <w:rFonts w:ascii="SimSun" w:eastAsia="SimSun" w:hAnsi="SimSun" w:cs="SimSun"/>
        </w:rPr>
        <w:t>生</w:t>
      </w:r>
      <w:r>
        <w:rPr>
          <w:rFonts w:ascii="Times New Roman" w:eastAsia="Times New Roman" w:hAnsi="Times New Roman" w:cs="Times New Roman"/>
        </w:rPr>
        <w:t xml:space="preserve"> </w:t>
      </w:r>
      <w:r>
        <w:rPr>
          <w:rFonts w:ascii="SimSun" w:eastAsia="SimSun" w:hAnsi="SimSun" w:cs="SimSun"/>
        </w:rPr>
        <w:t>计</w:t>
      </w:r>
      <w:r>
        <w:rPr>
          <w:rFonts w:ascii="Times New Roman" w:eastAsia="Times New Roman" w:hAnsi="Times New Roman" w:cs="Times New Roman"/>
        </w:rPr>
        <w:t xml:space="preserve"> </w:t>
      </w:r>
      <w:r>
        <w:rPr>
          <w:rFonts w:ascii="SimSun" w:eastAsia="SimSun" w:hAnsi="SimSun" w:cs="SimSun"/>
        </w:rPr>
        <w:t>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根据本院办学条件等实际情况，统筹毕业生就业情况、各省份生源情况、区域经济发展和历年录取成绩等因素，综合分析，确定分省分专业招生计划（即招生来源计划）编制原则和办法。来源计划经教育部审定后，通过各省级招生管理部门、招生简章、招生指南、招办网站等形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w:t>
      </w:r>
      <w:r>
        <w:rPr>
          <w:rFonts w:ascii="Times New Roman" w:eastAsia="Times New Roman" w:hAnsi="Times New Roman" w:cs="Times New Roman"/>
        </w:rPr>
        <w:t xml:space="preserve"> </w:t>
      </w:r>
      <w:r>
        <w:rPr>
          <w:rFonts w:ascii="SimSun" w:eastAsia="SimSun" w:hAnsi="SimSun" w:cs="SimSun"/>
        </w:rPr>
        <w:t>取</w:t>
      </w:r>
      <w:r>
        <w:rPr>
          <w:rFonts w:ascii="Times New Roman" w:eastAsia="Times New Roman" w:hAnsi="Times New Roman" w:cs="Times New Roman"/>
        </w:rPr>
        <w:t xml:space="preserve"> </w:t>
      </w:r>
      <w:r>
        <w:rPr>
          <w:rFonts w:ascii="SimSun" w:eastAsia="SimSun" w:hAnsi="SimSun" w:cs="SimSun"/>
        </w:rPr>
        <w:t>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学院招生工作在甘肃省教育厅和甘肃省教育考试院的领导下，在各省、自治区、直辖市高校招生录取行政部门的统一组织下进行，执行</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的录取体制，遵循</w:t>
      </w:r>
      <w:r>
        <w:rPr>
          <w:rFonts w:ascii="Times New Roman" w:eastAsia="Times New Roman" w:hAnsi="Times New Roman" w:cs="Times New Roman"/>
        </w:rPr>
        <w:t>“</w:t>
      </w:r>
      <w:r>
        <w:rPr>
          <w:rFonts w:ascii="SimSun" w:eastAsia="SimSun" w:hAnsi="SimSun" w:cs="SimSun"/>
        </w:rPr>
        <w:t>公平竞争、公开选拔、公开程序、全面考核、综合评估、择优录取</w:t>
      </w:r>
      <w:r>
        <w:rPr>
          <w:rFonts w:ascii="Times New Roman" w:eastAsia="Times New Roman" w:hAnsi="Times New Roman" w:cs="Times New Roman"/>
        </w:rPr>
        <w:t>”</w:t>
      </w:r>
      <w:r>
        <w:rPr>
          <w:rFonts w:ascii="SimSun" w:eastAsia="SimSun" w:hAnsi="SimSun" w:cs="SimSun"/>
        </w:rPr>
        <w:t>的原则，为国家和学院选拔优秀人才。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按照各省、自治区、直辖市招生录取行政部门确定的录取控制分数线和投档管理模式进行录取，提档比例一般为</w:t>
      </w:r>
      <w:r>
        <w:rPr>
          <w:rFonts w:ascii="Times New Roman" w:eastAsia="Times New Roman" w:hAnsi="Times New Roman" w:cs="Times New Roman"/>
        </w:rPr>
        <w:t>100%--120%</w:t>
      </w:r>
      <w:r>
        <w:rPr>
          <w:rFonts w:ascii="SimSun" w:eastAsia="SimSun" w:hAnsi="SimSun" w:cs="SimSun"/>
        </w:rPr>
        <w:t>。首次进档考生均视为第一志愿考生，优先录取首次进档考生，非首次进档的考生只能录取到未满额的专业。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对符合国家政策，享受加分政策的考生，可按省、自治区、直辖市招办的规定加分投档，录取时承认加分。进档考生在思想政治品德考核和身体健康状况检查合格的情况下，根据考生高考投档成绩（即高考实考分</w:t>
      </w:r>
      <w:r>
        <w:rPr>
          <w:rFonts w:ascii="Times New Roman" w:eastAsia="Times New Roman" w:hAnsi="Times New Roman" w:cs="Times New Roman"/>
        </w:rPr>
        <w:t>+</w:t>
      </w:r>
      <w:r>
        <w:rPr>
          <w:rFonts w:ascii="SimSun" w:eastAsia="SimSun" w:hAnsi="SimSun" w:cs="SimSun"/>
        </w:rPr>
        <w:t>各类政策加分</w:t>
      </w:r>
      <w:r>
        <w:rPr>
          <w:rFonts w:ascii="Times New Roman" w:eastAsia="Times New Roman" w:hAnsi="Times New Roman" w:cs="Times New Roman"/>
        </w:rPr>
        <w:t>,</w:t>
      </w:r>
      <w:r>
        <w:rPr>
          <w:rFonts w:ascii="SimSun" w:eastAsia="SimSun" w:hAnsi="SimSun" w:cs="SimSun"/>
        </w:rPr>
        <w:t>有投档校验位的省区含投档校验位），专业安排按照</w:t>
      </w:r>
      <w:r>
        <w:rPr>
          <w:rFonts w:ascii="Times New Roman" w:eastAsia="Times New Roman" w:hAnsi="Times New Roman" w:cs="Times New Roman"/>
        </w:rPr>
        <w:t>“</w:t>
      </w:r>
      <w:r>
        <w:rPr>
          <w:rFonts w:ascii="SimSun" w:eastAsia="SimSun" w:hAnsi="SimSun" w:cs="SimSun"/>
        </w:rPr>
        <w:t>分数优先，遵循专业志愿（专业之间无分数级差）</w:t>
      </w:r>
      <w:r>
        <w:rPr>
          <w:rFonts w:ascii="Times New Roman" w:eastAsia="Times New Roman" w:hAnsi="Times New Roman" w:cs="Times New Roman"/>
        </w:rPr>
        <w:t>”</w:t>
      </w:r>
      <w:r>
        <w:rPr>
          <w:rFonts w:ascii="SimSun" w:eastAsia="SimSun" w:hAnsi="SimSun" w:cs="SimSun"/>
        </w:rPr>
        <w:t>的原则分配专业。在分数和专业志愿都同等条件下，文史类考生按照文综成绩由高到低录取，理工类考生按照理综成绩由高到低录取。当考生所填报的专业志愿已录满时，则依据考生填报的参考志愿作适当调整。若考生所报专业志愿均无法满足时，对专业服从调剂者，根据考生志愿和成绩安排适当专业；若不服从专业调剂者，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甘肃省工艺美术（艺术类）专业在甘肃省艺术类本科二批录取，录取时使用甘肃省美术类统一考试排序成绩；实行平行志愿投档，按照位次优先的原则，从高分到低分择优录取。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对于各类增加分数和降低分数投档的考生，按照教育部和各省、自治区、直辖市的规定执行。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按照生源所在省、自治区、直辖市规定的程序，按时完成调档、阅档、退挡、审核等各环节工作，保证考生电子档案的正常周转和录取工作的顺利进行。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江苏省考生实行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的方法，要求考生选测科目等级为</w:t>
      </w:r>
      <w:r>
        <w:rPr>
          <w:rFonts w:ascii="Times New Roman" w:eastAsia="Times New Roman" w:hAnsi="Times New Roman" w:cs="Times New Roman"/>
        </w:rPr>
        <w:t>CC</w:t>
      </w:r>
      <w:r>
        <w:rPr>
          <w:rFonts w:ascii="SimSun" w:eastAsia="SimSun" w:hAnsi="SimSun" w:cs="SimSun"/>
        </w:rPr>
        <w:t>（含）以上，录取时主要考虑语数外三门统考科目成绩，在同等条件下考虑学业水平测试成绩及考生综合素质。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内蒙古考生实行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高考综合改革试点省份，考生在填报专业志愿时，本人普通高中学业水平等级性考试选考科目须与我院公布的专业选考科目要求一致。进档考生如存在高考总分和位次号相同，我院按照选考科目总成绩高者优先录取。某些专业投档线上选考科目生源不足时，我院执行省级招生主管部门的相关规定，可调剂录取选考其它科目并有服从专业调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新生入校后，学院将在三个月内进行全面复查。复查不合格者，学院将根据有关规定予以处理，直至取消入学资格。凡发现弄虚作假者，取消其入学资格，退回原籍。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所有招生专业均无男女比例限制。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学院外语授课语种为英语。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对考生身体健康状况的要求，按照教育部、卫生部、中国残疾人联合会颁发的《普通高等学校招生体检工作指导意见》及有关最新规定执行。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录取时应、往届考生一视同仁。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w:t>
      </w:r>
      <w:r>
        <w:rPr>
          <w:rFonts w:ascii="Times New Roman" w:eastAsia="Times New Roman" w:hAnsi="Times New Roman" w:cs="Times New Roman"/>
        </w:rPr>
        <w:t xml:space="preserve"> </w:t>
      </w:r>
      <w:r>
        <w:rPr>
          <w:rFonts w:ascii="SimSun" w:eastAsia="SimSun" w:hAnsi="SimSun" w:cs="SimSun"/>
        </w:rPr>
        <w:t>费</w:t>
      </w:r>
      <w:r>
        <w:rPr>
          <w:rFonts w:ascii="Times New Roman" w:eastAsia="Times New Roman" w:hAnsi="Times New Roman" w:cs="Times New Roman"/>
        </w:rPr>
        <w:t xml:space="preserve"> </w:t>
      </w:r>
      <w:r>
        <w:rPr>
          <w:rFonts w:ascii="SimSun" w:eastAsia="SimSun" w:hAnsi="SimSun" w:cs="SimSun"/>
        </w:rPr>
        <w:t>标</w:t>
      </w:r>
      <w:r>
        <w:rPr>
          <w:rFonts w:ascii="Times New Roman" w:eastAsia="Times New Roman" w:hAnsi="Times New Roman" w:cs="Times New Roman"/>
        </w:rPr>
        <w:t xml:space="preserve"> </w:t>
      </w:r>
      <w:r>
        <w:rPr>
          <w:rFonts w:ascii="SimSun" w:eastAsia="SimSun" w:hAnsi="SimSun" w:cs="SimSun"/>
        </w:rPr>
        <w:t>准</w:t>
      </w:r>
      <w:r>
        <w:rPr>
          <w:rFonts w:ascii="Times New Roman" w:eastAsia="Times New Roman" w:hAnsi="Times New Roman" w:cs="Times New Roman"/>
        </w:rPr>
        <w:t xml:space="preserve"> </w:t>
      </w:r>
      <w:r>
        <w:rPr>
          <w:rFonts w:ascii="SimSun" w:eastAsia="SimSun" w:hAnsi="SimSun" w:cs="SimSun"/>
        </w:rPr>
        <w:t>及</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根据《甘肃省定价目录》（甘肃省发展和改革委员会公告</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第</w:t>
      </w:r>
      <w:r>
        <w:rPr>
          <w:rFonts w:ascii="Times New Roman" w:eastAsia="Times New Roman" w:hAnsi="Times New Roman" w:cs="Times New Roman"/>
        </w:rPr>
        <w:t>1</w:t>
      </w:r>
      <w:r>
        <w:rPr>
          <w:rFonts w:ascii="SimSun" w:eastAsia="SimSun" w:hAnsi="SimSun" w:cs="SimSun"/>
        </w:rPr>
        <w:t>号）相关内容规定，我院确定新生学费标准为：经济管理类、文史类为每生每年</w:t>
      </w:r>
      <w:r>
        <w:rPr>
          <w:rFonts w:ascii="Times New Roman" w:eastAsia="Times New Roman" w:hAnsi="Times New Roman" w:cs="Times New Roman"/>
        </w:rPr>
        <w:t>14000</w:t>
      </w:r>
      <w:r>
        <w:rPr>
          <w:rFonts w:ascii="SimSun" w:eastAsia="SimSun" w:hAnsi="SimSun" w:cs="SimSun"/>
        </w:rPr>
        <w:t>元；理工类、艺术类每生每年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w:t>
      </w:r>
      <w:r>
        <w:rPr>
          <w:rFonts w:ascii="Times New Roman" w:eastAsia="Times New Roman" w:hAnsi="Times New Roman" w:cs="Times New Roman"/>
        </w:rPr>
        <w:t>4</w:t>
      </w:r>
      <w:r>
        <w:rPr>
          <w:rFonts w:ascii="SimSun" w:eastAsia="SimSun" w:hAnsi="SimSun" w:cs="SimSun"/>
        </w:rPr>
        <w:t>人间每人每学年</w:t>
      </w:r>
      <w:r>
        <w:rPr>
          <w:rFonts w:ascii="Times New Roman" w:eastAsia="Times New Roman" w:hAnsi="Times New Roman" w:cs="Times New Roman"/>
        </w:rPr>
        <w:t>1350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人间每人每学年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优秀学生享受国家奖学金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学年和国家助学金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学年，家庭经济困难学生享有国家助学贷款等助学制度。另外，学院还设优秀学生奖学金、单项奖学金、新生奖学金和其它奖学金制度。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学院以往有关招生工作的要求、规定如与本章程有冲突，以本章程为准，原政策、规定即时废止。本章程若与国家法律、法规、规范和上级有关政策相抵触，以国家法律、法规、规范和上级有关政策为准。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学院普通高考招生工作由招生就业处负责，校内其他单位组织的招生宣传须经招生就业处批准后方可实施。凡未经招生就业处批准，私自宣传导致的招生问题，后果由宣传单位自负。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兰州财经大学长青学院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兰州理工大学技术工程学院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年兰州城市学院普通本科招生章程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兰州文理学院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1/0623/20029.html" TargetMode="External" /><Relationship Id="rId11" Type="http://schemas.openxmlformats.org/officeDocument/2006/relationships/hyperlink" Target="http://www.gk114.com/a/gxzs/zszc/gansu/2021/0623/20028.html" TargetMode="External" /><Relationship Id="rId12" Type="http://schemas.openxmlformats.org/officeDocument/2006/relationships/hyperlink" Target="http://www.gk114.com/a/gxzs/zszc/gansu/2021/0623/20027.html" TargetMode="External" /><Relationship Id="rId13" Type="http://schemas.openxmlformats.org/officeDocument/2006/relationships/hyperlink" Target="http://www.gk114.com/a/gxzs/zszc/gansu/2021/0623/20024.html" TargetMode="External" /><Relationship Id="rId14" Type="http://schemas.openxmlformats.org/officeDocument/2006/relationships/hyperlink" Target="http://www.gk114.com/a/gxzs/zszc/gansu/2021/0623/20020.html" TargetMode="External" /><Relationship Id="rId15" Type="http://schemas.openxmlformats.org/officeDocument/2006/relationships/hyperlink" Target="http://www.gk114.com/a/gxzs/zszc/gansu/2021/0623/20017.html" TargetMode="External" /><Relationship Id="rId16" Type="http://schemas.openxmlformats.org/officeDocument/2006/relationships/hyperlink" Target="http://www.gk114.com/a/gxzs/zszc/gansu/2021/0623/20013.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0/0615/16807.html" TargetMode="External" /><Relationship Id="rId5" Type="http://schemas.openxmlformats.org/officeDocument/2006/relationships/hyperlink" Target="http://www.gk114.com/a/gxzs/zszc/gansu/2020/0615/16809.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3.html" TargetMode="External" /><Relationship Id="rId8" Type="http://schemas.openxmlformats.org/officeDocument/2006/relationships/hyperlink" Target="http://www.gk114.com/a/gxzs/zszc/gansu/2022/0524/22510.html" TargetMode="External" /><Relationship Id="rId9" Type="http://schemas.openxmlformats.org/officeDocument/2006/relationships/hyperlink" Target="http://www.gk114.com/a/gxzs/zszc/gansu/2022/0328/219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