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兰州交通大学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依法规范招生工作，保证兰州交通大学本、专科（高职）招生工作的顺利进行，根据《中华人民共和国教育法》、《中华人民共和国高等教育法》及教育部《普通高等学校招生工作规定》等法律、法规，结合学校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兰州交通大学是一所以工科为主，理学、经济学、管理学、文学和艺术学兼有的多学科协调发展的教学研究性大学，学校具有学士、硕士、博士学位授予权。学校名称：兰州交通大学。部标代码：</w:t>
      </w:r>
      <w:r>
        <w:rPr>
          <w:rFonts w:ascii="Times New Roman" w:eastAsia="Times New Roman" w:hAnsi="Times New Roman" w:cs="Times New Roman"/>
        </w:rPr>
        <w:t>10732</w:t>
      </w:r>
      <w:r>
        <w:rPr>
          <w:rFonts w:ascii="SimSun" w:eastAsia="SimSun" w:hAnsi="SimSun" w:cs="SimSun"/>
        </w:rPr>
        <w:t>。地址：甘肃省兰州市安宁区安宁西路</w:t>
      </w:r>
      <w:r>
        <w:rPr>
          <w:rFonts w:ascii="Times New Roman" w:eastAsia="Times New Roman" w:hAnsi="Times New Roman" w:cs="Times New Roman"/>
        </w:rPr>
        <w:t>88</w:t>
      </w:r>
      <w:r>
        <w:rPr>
          <w:rFonts w:ascii="SimSun" w:eastAsia="SimSun" w:hAnsi="SimSun" w:cs="SimSun"/>
        </w:rPr>
        <w:t>号（校本部）、甘肃省兰州市城关区平凉路</w:t>
      </w:r>
      <w:r>
        <w:rPr>
          <w:rFonts w:ascii="Times New Roman" w:eastAsia="Times New Roman" w:hAnsi="Times New Roman" w:cs="Times New Roman"/>
        </w:rPr>
        <w:t>166</w:t>
      </w:r>
      <w:r>
        <w:rPr>
          <w:rFonts w:ascii="SimSun" w:eastAsia="SimSun" w:hAnsi="SimSun" w:cs="SimSun"/>
        </w:rPr>
        <w:t>号（铁道校区）。上级主管部门：甘肃省教育厅。办学性质：公办全日制普通高等学校。办学层次：研究生、本科和专科（高职）。对经由省级招生机构审核通过并被我校确认录取的本科及专科（高职）考生，将发放由校长签发并盖有兰州交通大学公章的新生录取通知书，考生凭录取通知书来校报到。对取得我校学籍，学习期满成绩合格的本科及专科（高职）毕业生，颁发相应的普通高等教育毕业证书，毕业证书学校名称为兰州交通大学。符合学位授予条件的，颁发相应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兰州交通大学招生工作将全面贯彻执行教育部和各省（市、区）有关文件精神。本着公平、公正、公开的原则，综合衡量考生德、智、体、美，择优录取，并接受考生、家长以及社会各界的监督。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兰州交通大学设立学校招生工作领导小组，全面负责本、专科（高职）招生工作的统筹协调，负责解决招生录取过程中遇到的重大问题，协调录取过程中各部门之间的配合。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招生办公室为学校招生工作领导小组的常设工作机构，设在招生就业处，负责学校本、专科（高职）招生的日常工作。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兰州交通大学招生录取工作在教育部和甘肃省教育厅的领导下，在各省（自治区、直辖市）招生委员会统一组织下进行，执行教育部规定的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兰州交通大学根据本校办学条件等实际情况，统筹毕业生就业情况、各省份生源情况、区域经济发展和历年录取成绩等因素，综合分析，确定分省分专业招生计划（即招生来源计划）编制原则和办法。来源计划经各省教育行政部门、教育部审定后，通过各省级招生管理部门、招生简章、招生指南、学校本专科招生网站等形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兰州交通大学根据各省（自治区、直辖市）生源情况确定提档比例，按照顺序志愿投档的批次，调档比例控制在</w:t>
      </w:r>
      <w:r>
        <w:rPr>
          <w:rFonts w:ascii="Times New Roman" w:eastAsia="Times New Roman" w:hAnsi="Times New Roman" w:cs="Times New Roman"/>
        </w:rPr>
        <w:t>120%</w:t>
      </w:r>
      <w:r>
        <w:rPr>
          <w:rFonts w:ascii="SimSun" w:eastAsia="SimSun" w:hAnsi="SimSun" w:cs="SimSun"/>
        </w:rPr>
        <w:t>以内。按照平行志愿投档的批次，调档比例控制在</w:t>
      </w:r>
      <w:r>
        <w:rPr>
          <w:rFonts w:ascii="Times New Roman" w:eastAsia="Times New Roman" w:hAnsi="Times New Roman" w:cs="Times New Roman"/>
        </w:rPr>
        <w:t>105%</w:t>
      </w:r>
      <w:r>
        <w:rPr>
          <w:rFonts w:ascii="SimSun" w:eastAsia="SimSun" w:hAnsi="SimSun" w:cs="SimSun"/>
        </w:rPr>
        <w:t>以内。首次进档考生均视为第一志愿考生，优先录取首次进档考生，非首次进档的考生只能录取到未满额的专业。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进档考生在思想政治品德考核和身体健康状况检查合格的情况下，根据考生高考投档成绩（即高考实考分</w:t>
      </w:r>
      <w:r>
        <w:rPr>
          <w:rFonts w:ascii="Times New Roman" w:eastAsia="Times New Roman" w:hAnsi="Times New Roman" w:cs="Times New Roman"/>
        </w:rPr>
        <w:t>+</w:t>
      </w:r>
      <w:r>
        <w:rPr>
          <w:rFonts w:ascii="SimSun" w:eastAsia="SimSun" w:hAnsi="SimSun" w:cs="SimSun"/>
        </w:rPr>
        <w:t>各类政策加分</w:t>
      </w:r>
      <w:r>
        <w:rPr>
          <w:rFonts w:ascii="Times New Roman" w:eastAsia="Times New Roman" w:hAnsi="Times New Roman" w:cs="Times New Roman"/>
        </w:rPr>
        <w:t xml:space="preserve">, </w:t>
      </w:r>
      <w:r>
        <w:rPr>
          <w:rFonts w:ascii="SimSun" w:eastAsia="SimSun" w:hAnsi="SimSun" w:cs="SimSun"/>
        </w:rPr>
        <w:t>有投档校验位的省区含投档校验位），专业安排按照</w:t>
      </w:r>
      <w:r>
        <w:rPr>
          <w:rFonts w:ascii="Times New Roman" w:eastAsia="Times New Roman" w:hAnsi="Times New Roman" w:cs="Times New Roman"/>
        </w:rPr>
        <w:t>“</w:t>
      </w:r>
      <w:r>
        <w:rPr>
          <w:rFonts w:ascii="SimSun" w:eastAsia="SimSun" w:hAnsi="SimSun" w:cs="SimSun"/>
        </w:rPr>
        <w:t>分数优先，遵循专业志愿（专业之间无分数级差）</w:t>
      </w:r>
      <w:r>
        <w:rPr>
          <w:rFonts w:ascii="Times New Roman" w:eastAsia="Times New Roman" w:hAnsi="Times New Roman" w:cs="Times New Roman"/>
        </w:rPr>
        <w:t>”</w:t>
      </w:r>
      <w:r>
        <w:rPr>
          <w:rFonts w:ascii="SimSun" w:eastAsia="SimSun" w:hAnsi="SimSun" w:cs="SimSun"/>
        </w:rPr>
        <w:t>的原则分配专业。在分数和专业志愿都同等条件下，文史类考生按照文综成绩由高到低录取，理工类考生按照理综成绩由高到低录取。考生所有专业志愿都无法满足时，若服从专业调剂，则根据考生各科成绩和报考其他院校的专业志愿情况在缺额专业调剂录取，否则，作退档处理。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兰州交通大学非外语专业的公共外语课程均为英语，其他小语种考生请慎重填报。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江苏省考生按照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的原则录取，要求考生选测科目等级为</w:t>
      </w:r>
      <w:r>
        <w:rPr>
          <w:rFonts w:ascii="Times New Roman" w:eastAsia="Times New Roman" w:hAnsi="Times New Roman" w:cs="Times New Roman"/>
        </w:rPr>
        <w:t>2B</w:t>
      </w:r>
      <w:r>
        <w:rPr>
          <w:rFonts w:ascii="SimSun" w:eastAsia="SimSun" w:hAnsi="SimSun" w:cs="SimSun"/>
        </w:rPr>
        <w:t>（含）以上，即对进档考生按高考投档成绩从高到低排序，投档成绩相同时，学业水平选测科目等级高者优先排序，后按专业志愿顺序进行录取。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高考综合改革试点省份上海和浙江，考生在填报专业志愿时，本人普通高中学业水平等级性考试选考科目须与我校公布的专业选考科目要求一致。某些专业投档线上选考科目生源不足时，我校执行省级招生主管部门的相关规定，可调剂录取选考其它科目并有服从专业调剂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兰州交通大学对考生的体检要求按照教育部《普通高等学校体检工作指导意见》执行。新生入学后进行体检复查，凡不符合条件或有舞弊行为者，取消其入学资格，退回生源地。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艺术类专业录取原则：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）使用省统考成绩且该专业实行平行志愿投档的省份，按照所在省份投档规则进行录取。（</w:t>
      </w:r>
      <w:r>
        <w:rPr>
          <w:rFonts w:ascii="Times New Roman" w:eastAsia="Times New Roman" w:hAnsi="Times New Roman" w:cs="Times New Roman"/>
        </w:rPr>
        <w:t>2</w:t>
      </w:r>
      <w:r>
        <w:rPr>
          <w:rFonts w:ascii="SimSun" w:eastAsia="SimSun" w:hAnsi="SimSun" w:cs="SimSun"/>
        </w:rPr>
        <w:t>）使用省统考成绩且该专业实行顺序志愿（非平行志愿）投档的省份，按照综合成绩从高到低以分数优先的原则择优录取（如考生综合成绩相同，则按文化课成绩排序；文理科一起排队；河南省分文理科单独排队），综合成绩</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×0.3</w:t>
      </w:r>
      <w:r>
        <w:rPr>
          <w:rFonts w:ascii="SimSun" w:eastAsia="SimSun" w:hAnsi="SimSun" w:cs="SimSun"/>
        </w:rPr>
        <w:t>﹢专业课成绩</w:t>
      </w:r>
      <w:r>
        <w:rPr>
          <w:rFonts w:ascii="Times New Roman" w:eastAsia="Times New Roman" w:hAnsi="Times New Roman" w:cs="Times New Roman"/>
        </w:rPr>
        <w:t>×0.7)</w:t>
      </w:r>
      <w:r>
        <w:rPr>
          <w:rFonts w:ascii="SimSun" w:eastAsia="SimSun" w:hAnsi="SimSun" w:cs="SimSun"/>
        </w:rPr>
        <w:t>，录满为止。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高水平运动队招生按照教育部和有关省份规定执行，同时必须通过我校专项测试。对专项测试合格经公示及各省招生主管部门确认无问题的考生，在文化课达到公示优惠分值的控制线上，按照专项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本科预留计划为学校本科计划数的</w:t>
      </w:r>
      <w:r>
        <w:rPr>
          <w:rFonts w:ascii="Times New Roman" w:eastAsia="Times New Roman" w:hAnsi="Times New Roman" w:cs="Times New Roman"/>
        </w:rPr>
        <w:t>1%</w:t>
      </w:r>
      <w:r>
        <w:rPr>
          <w:rFonts w:ascii="SimSun" w:eastAsia="SimSun" w:hAnsi="SimSun" w:cs="SimSun"/>
        </w:rPr>
        <w:t>，其使用程序坚持集体议事、集体决策、公开透明的原则，经招生录取工作领导小组集体讨论决定，用于录取平行志愿省区超过计划数提档的、符合录取要求并服从专业调剂的考生，或用于解决各省之间生源不平衡问题，并向教育欠发达且生源数量较多、升学压力较大的中西部地区倾斜，同时也考虑在生源人数多、质量好的省份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收费标准及其它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本科专业学费：工学类专业</w:t>
      </w:r>
      <w:r>
        <w:rPr>
          <w:rFonts w:ascii="Times New Roman" w:eastAsia="Times New Roman" w:hAnsi="Times New Roman" w:cs="Times New Roman"/>
        </w:rPr>
        <w:t>4700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学年；文学类专业</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学年；外语类专业</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学年；理学类专业</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学年；艺术类专业</w:t>
      </w:r>
      <w:r>
        <w:rPr>
          <w:rFonts w:ascii="Times New Roman" w:eastAsia="Times New Roman" w:hAnsi="Times New Roman" w:cs="Times New Roman"/>
        </w:rPr>
        <w:t>6800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学年；建筑学与城市规划专业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学年。高职专业学费：</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w:t>
      </w:r>
      <w:r>
        <w:rPr>
          <w:rFonts w:ascii="Times New Roman" w:eastAsia="Times New Roman" w:hAnsi="Times New Roman" w:cs="Times New Roman"/>
        </w:rPr>
        <w:t>900-1400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学年，学校统一安排住宿后按相应标准收取。在新生入学时如有新的收费标准，则按照物价部门的最新批复为准。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为了鼓励学生勤奋学习，帮助经济困难学生顺利完成学业，学校设有完善的奖学金机制，建立了多种奖学金、助学金、贷学金和勤工助学制度。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本科办学地点：兰州市安宁区安宁西路</w:t>
      </w:r>
      <w:r>
        <w:rPr>
          <w:rFonts w:ascii="Times New Roman" w:eastAsia="Times New Roman" w:hAnsi="Times New Roman" w:cs="Times New Roman"/>
        </w:rPr>
        <w:t>88</w:t>
      </w:r>
      <w:r>
        <w:rPr>
          <w:rFonts w:ascii="SimSun" w:eastAsia="SimSun" w:hAnsi="SimSun" w:cs="SimSun"/>
        </w:rPr>
        <w:t>号（校本部）；专科（高职）办学地点：兰州市城关区平凉路</w:t>
      </w:r>
      <w:r>
        <w:rPr>
          <w:rFonts w:ascii="Times New Roman" w:eastAsia="Times New Roman" w:hAnsi="Times New Roman" w:cs="Times New Roman"/>
        </w:rPr>
        <w:t>166</w:t>
      </w:r>
      <w:r>
        <w:rPr>
          <w:rFonts w:ascii="SimSun" w:eastAsia="SimSun" w:hAnsi="SimSun" w:cs="SimSun"/>
        </w:rPr>
        <w:t>号（铁道校区）。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部门：兰州交通大学招生办公室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地址：兰州市安宁区安宁西路</w:t>
      </w:r>
      <w:r>
        <w:rPr>
          <w:rFonts w:ascii="Times New Roman" w:eastAsia="Times New Roman" w:hAnsi="Times New Roman" w:cs="Times New Roman"/>
        </w:rPr>
        <w:t>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730070    E-mail:zsb@mail.lzjtu.cn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http://zsb.lzjtu.edu.cn/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日常办公联系电话：</w:t>
      </w:r>
      <w:r>
        <w:rPr>
          <w:rFonts w:ascii="Times New Roman" w:eastAsia="Times New Roman" w:hAnsi="Times New Roman" w:cs="Times New Roman"/>
        </w:rPr>
        <w:t xml:space="preserve">0931-4938051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招生期间咨询电话：</w:t>
      </w:r>
      <w:r>
        <w:rPr>
          <w:rFonts w:ascii="Times New Roman" w:eastAsia="Times New Roman" w:hAnsi="Times New Roman" w:cs="Times New Roman"/>
        </w:rPr>
        <w:t xml:space="preserve">0931-4956179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0931-4938051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本章程由兰州交通大学招生办公室负责解释。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本章程若与国家法律、法规、规章、规范和上级有关政策相抵触，则以国家法律、法规、规章、规范和上级有关政策为准。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甘肃中医药大学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年兰州城市学院普通本科招生章程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兰州财经大学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兰州文理学院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1/0623/20029.html" TargetMode="External" /><Relationship Id="rId11" Type="http://schemas.openxmlformats.org/officeDocument/2006/relationships/hyperlink" Target="http://www.gk114.com/a/gxzs/zszc/gansu/2021/0623/20028.html" TargetMode="External" /><Relationship Id="rId12" Type="http://schemas.openxmlformats.org/officeDocument/2006/relationships/hyperlink" Target="http://www.gk114.com/a/gxzs/zszc/gansu/2021/0623/20027.html" TargetMode="External" /><Relationship Id="rId13" Type="http://schemas.openxmlformats.org/officeDocument/2006/relationships/hyperlink" Target="http://www.gk114.com/a/gxzs/zszc/gansu/2021/0623/20024.html" TargetMode="External" /><Relationship Id="rId14" Type="http://schemas.openxmlformats.org/officeDocument/2006/relationships/hyperlink" Target="http://www.gk114.com/a/gxzs/zszc/gansu/2021/0623/20020.html" TargetMode="External" /><Relationship Id="rId15" Type="http://schemas.openxmlformats.org/officeDocument/2006/relationships/hyperlink" Target="http://www.gk114.com/a/gxzs/zszc/gansu/2021/0623/20017.html" TargetMode="External" /><Relationship Id="rId16" Type="http://schemas.openxmlformats.org/officeDocument/2006/relationships/hyperlink" Target="http://www.gk114.com/a/gxzs/zszc/gansu/2021/0623/20013.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19/0609/9568.html" TargetMode="External" /><Relationship Id="rId5" Type="http://schemas.openxmlformats.org/officeDocument/2006/relationships/hyperlink" Target="http://www.gk114.com/a/gxzs/zszc/gansu/2019/0609/9570.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3.html" TargetMode="External" /><Relationship Id="rId8" Type="http://schemas.openxmlformats.org/officeDocument/2006/relationships/hyperlink" Target="http://www.gk114.com/a/gxzs/zszc/gansu/2022/0524/22510.html" TargetMode="External" /><Relationship Id="rId9" Type="http://schemas.openxmlformats.org/officeDocument/2006/relationships/hyperlink" Target="http://www.gk114.com/a/gxzs/zszc/gansu/2022/0328/2199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