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兰州工业学院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根据《中华人民共和国教育法》、《中华人民共和国高等教育法》及相关法律法规，结合我校招生工作实际，制定本章程。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本章程是我校向社会公布有关招生政策、规定及相关信息的主要方式，是我校开展招生工作和录取新生的重要依据。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一、学院名称：兰州工业学院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四、学院代码：</w:t>
      </w:r>
      <w:r>
        <w:rPr>
          <w:rFonts w:ascii="Times New Roman" w:eastAsia="Times New Roman" w:hAnsi="Times New Roman" w:cs="Times New Roman"/>
        </w:rPr>
        <w:t xml:space="preserve">11807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五、学院地址：兰州市七里河区龚家坪东路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六、主管机构：甘肃省教育厅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学校招生委员会全面负责学校的本、专科招生工作，制定招生政策、招生计划，决定有关招生工作的重大事宜。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招生委员会办公室设在招生就业处，作为组织和实施招生工作的常设机构，负责本、专科的招生工作和日常工作。学校纪委（监察处）全程参与招生工作，负责监督整个招生过程，确保我校招生工作公平、公正。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我校根据发展规划、办学条件、学科特点、生源状况和社会需求制定</w:t>
      </w:r>
      <w:r>
        <w:rPr>
          <w:rFonts w:ascii="Times New Roman" w:eastAsia="Times New Roman" w:hAnsi="Times New Roman" w:cs="Times New Roman"/>
        </w:rPr>
        <w:t>2019</w:t>
      </w:r>
      <w:r>
        <w:rPr>
          <w:rFonts w:ascii="SimSun" w:eastAsia="SimSun" w:hAnsi="SimSun" w:cs="SimSun"/>
        </w:rPr>
        <w:t>年面向甘肃、江苏、河南、河北、山东、安徽、陕西、山西、江西、天津、浙江等省（自治区、直辖市）的分专业招生计划。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经甘肃省教育厅核准下达的具体本、专科招生专业、招生计划，按照规定时间寄送到各省（自治区、直辖市）普通高校招生办公室，并由各省（自治区、直辖市）普通高校招生办公室向社会公布，同时学校也通过不同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收费标准。我校实行学分制收费，根据甘肃省发展和改革委员会、甘肃省财政厅《关于我省高等中职院校收费问题的通知》</w:t>
      </w:r>
      <w:r>
        <w:rPr>
          <w:rFonts w:ascii="Times New Roman" w:eastAsia="Times New Roman" w:hAnsi="Times New Roman" w:cs="Times New Roman"/>
        </w:rPr>
        <w:t>(</w:t>
      </w:r>
      <w:r>
        <w:rPr>
          <w:rFonts w:ascii="SimSun" w:eastAsia="SimSun" w:hAnsi="SimSun" w:cs="SimSun"/>
        </w:rPr>
        <w:t>甘发改收费</w:t>
      </w:r>
      <w:r>
        <w:rPr>
          <w:rFonts w:ascii="Times New Roman" w:eastAsia="Times New Roman" w:hAnsi="Times New Roman" w:cs="Times New Roman"/>
        </w:rPr>
        <w:t>[2016]1133</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规定的标准执行。本科</w:t>
      </w:r>
      <w:r>
        <w:rPr>
          <w:rFonts w:ascii="Times New Roman" w:eastAsia="Times New Roman" w:hAnsi="Times New Roman" w:cs="Times New Roman"/>
        </w:rPr>
        <w:t>:</w:t>
      </w:r>
      <w:r>
        <w:rPr>
          <w:rFonts w:ascii="SimSun" w:eastAsia="SimSun" w:hAnsi="SimSun" w:cs="SimSun"/>
        </w:rPr>
        <w:t>工科类</w:t>
      </w:r>
      <w:r>
        <w:rPr>
          <w:rFonts w:ascii="Times New Roman" w:eastAsia="Times New Roman" w:hAnsi="Times New Roman" w:cs="Times New Roman"/>
        </w:rPr>
        <w:t>4700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理科类</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外语类</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学年。专科</w:t>
      </w:r>
      <w:r>
        <w:rPr>
          <w:rFonts w:ascii="Times New Roman" w:eastAsia="Times New Roman" w:hAnsi="Times New Roman" w:cs="Times New Roman"/>
        </w:rPr>
        <w:t xml:space="preserve">: </w:t>
      </w:r>
      <w:r>
        <w:rPr>
          <w:rFonts w:ascii="SimSun" w:eastAsia="SimSun" w:hAnsi="SimSun" w:cs="SimSun"/>
        </w:rPr>
        <w:t>工科类</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学年，文史类</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学年，理科类</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学年，外语类</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学年，校企合作办学的视觉传达设计专业（互联网交互设计方向）</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学年，校企合作办学的通信工程专业</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学年。住宿费标准：</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以上收费入学时如有新标准，按甘肃省发改委核定的新标准执行。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年新增本科专业物联网工程、智能科学与技术学费标准正在报批，具体以甘肃省发改委核定的标准执行。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在录取过程中我校根据各省（自治区、直辖市）的报考生源状况，经学校招生工作领导小组研究并报上级教育行政主管部门批准，对生源好、志愿足、录取分数高的省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的招生计划作适当调整。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招生录取工作遵循公平竞争、公正选拔、公开程序的原则，执行国家教育部和各省（自治区、直辖市）招生委员会制定的录取政策，以考生填报的志愿和高考文化课成绩为主要录取依据，德智体美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分数优先、志愿优先</w:t>
      </w:r>
      <w:r>
        <w:rPr>
          <w:rFonts w:ascii="Times New Roman" w:eastAsia="Times New Roman" w:hAnsi="Times New Roman" w:cs="Times New Roman"/>
        </w:rPr>
        <w:t>”</w:t>
      </w:r>
      <w:r>
        <w:rPr>
          <w:rFonts w:ascii="SimSun" w:eastAsia="SimSun" w:hAnsi="SimSun" w:cs="SimSun"/>
        </w:rPr>
        <w:t>的原则确定考生的录取专业，即依照进档考生分数高低的顺序，根据考生的专业志愿，优先满足分数高的考生的志愿要求。所报专业志愿都无法满足时，若服从专业调剂，则在考生所在省（自治区、直辖市）所设招生专业范围内进行调剂录取；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参加全国统考的，录取时在同等条件下，理工类依次考虑数学、理综、外语成绩；文史类依次考虑语文、文综、外语成绩。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艺术类专业只录取美术类考生，承认招生省份美术类统考成绩。甘肃省艺术类招生按照《</w:t>
      </w:r>
      <w:r>
        <w:rPr>
          <w:rFonts w:ascii="Times New Roman" w:eastAsia="Times New Roman" w:hAnsi="Times New Roman" w:cs="Times New Roman"/>
        </w:rPr>
        <w:t>2018</w:t>
      </w:r>
      <w:r>
        <w:rPr>
          <w:rFonts w:ascii="SimSun" w:eastAsia="SimSun" w:hAnsi="SimSun" w:cs="SimSun"/>
        </w:rPr>
        <w:t>年甘肃省普通高校招生艺术体育类专业招生录取改革方案》（以下简称方案）执行。其它省市录取时在文化课、专业课达到有关省（自治区、直辖市）划定合格线的情况下，按照文化课成绩从高分到低分录取，执行甘肃省改革方案的省市按照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中职生（三校生）录取时同等情况下，依次考虑文化综合素质测试、专业基础知识测试、专业技能水平测试成绩。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对江苏省考生实行先分数后等级的方法，考生选测科目等级为</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C</w:t>
      </w:r>
      <w:r>
        <w:rPr>
          <w:rFonts w:ascii="SimSun" w:eastAsia="SimSun" w:hAnsi="SimSun" w:cs="SimSun"/>
        </w:rPr>
        <w:t>（含）以上，录取时在同等条件下依次考虑数学成绩、外语成绩、语文成绩、学业水平测试成绩、考生综合素质。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按全国普通高校招生录取工作在教育部统一领导下由各省级招生委员会实行属地化管理并负责组织实施的管理体制，对政策加分考生的录取，执行各省（自治区、直辖市）招生办规定的加分政策和录取规定。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英语为我校各招生专业的唯一外语语种。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录取结果将按照教育部和各省（自治区、直辖市）的有关要求及规定的形式进行公布。考生也可登陆学校网站查询。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普通高等学校招生体检工作指导意见》，人力资源和社会保障部、教育部、卫生部《关于进一步规范入学和就业体检项目维护乙肝表面抗原携带者入学和就业权利的通知》，《教育部办公厅卫生部办公厅关于普通高等学校招生学生入学身体检查取消乙肝项目检测有关问题的通知》（教学厅</w:t>
      </w:r>
      <w:r>
        <w:rPr>
          <w:rFonts w:ascii="Times New Roman" w:eastAsia="Times New Roman" w:hAnsi="Times New Roman" w:cs="Times New Roman"/>
        </w:rPr>
        <w:t>[2010]2</w:t>
      </w:r>
      <w:r>
        <w:rPr>
          <w:rFonts w:ascii="SimSun" w:eastAsia="SimSun" w:hAnsi="SimSun" w:cs="SimSun"/>
        </w:rPr>
        <w:t>号）和省招委《关于做好</w:t>
      </w:r>
      <w:r>
        <w:rPr>
          <w:rFonts w:ascii="Times New Roman" w:eastAsia="Times New Roman" w:hAnsi="Times New Roman" w:cs="Times New Roman"/>
        </w:rPr>
        <w:t>2018</w:t>
      </w:r>
      <w:r>
        <w:rPr>
          <w:rFonts w:ascii="SimSun" w:eastAsia="SimSun" w:hAnsi="SimSun" w:cs="SimSun"/>
        </w:rPr>
        <w:t>年甘肃省普通高等学校招生体检工作通知》及普通高校根据相关专业提出的补充规定对考生身体健康状况进行审查和复查。对不符合标准的，按《指导意见》中所作的相关规定进行处理。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新生入学注册后，依据教育部《普通高等学校学生管理规定》和《兰州工业学院本科生学籍管理规定（试行）》、《兰州工业学院专科生学籍管理实施细则》等规章制度进行管理。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学校设有多种层次的奖学金、助学金、经济困难资助金等；学校为经济困难学生开辟了绿色通道，贫困学生可以通过国家助学贷款完成学业；学校还为经济困难学生提供了多种勤工助学岗位。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本章程适用于依据上级主管部门下达的招生计划进行的本年度普通本、专科招生工作。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学校有关招生工作的政策、规定以本章程为准。原有政策、规定等随本章程发布一律废止。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整个招生宣传、咨询、录取工作，统一由我校招生就业处按照本章程和学校的相关规定具体组织实施。我校郑重声明：在招生咨询过程中学校招生咨询人员的个人意见、建议仅作为考生填报志愿的参考，不属学校录取承诺；考生和家长也不得以任何形式要求我校招生咨询人员作任何不符合招生规定的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本章程由兰州工业学院招生就业处负责解释。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电话、传真：</w:t>
      </w:r>
      <w:r>
        <w:rPr>
          <w:rFonts w:ascii="Times New Roman" w:eastAsia="Times New Roman" w:hAnsi="Times New Roman" w:cs="Times New Roman"/>
        </w:rPr>
        <w:t xml:space="preserve">0931-2885585  2863381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0931-2861447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730050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地址：兰州市七里河区龚家坪东路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http://www.lzit.edu.cn  E-mail: 1291203329@qq.com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酒泉职业技术学院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2/0328/2199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84.html" TargetMode="External" /><Relationship Id="rId5" Type="http://schemas.openxmlformats.org/officeDocument/2006/relationships/hyperlink" Target="http://www.gk114.com/a/gxzs/zszc/gansu/2019/0609/9586.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