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学校名称：兰州理工大学；学校代码：</w:t>
      </w:r>
      <w:r>
        <w:rPr>
          <w:rFonts w:ascii="Times New Roman" w:eastAsia="Times New Roman" w:hAnsi="Times New Roman" w:cs="Times New Roman"/>
        </w:rPr>
        <w:t>10731</w:t>
      </w:r>
      <w:r>
        <w:rPr>
          <w:rFonts w:ascii="SimSun" w:eastAsia="SimSun" w:hAnsi="SimSun" w:cs="SimSun"/>
        </w:rPr>
        <w:t>（国标）。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主管部门：甘肃省教育厅。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兰州理工大学是一所以工为主，工学、理学、文学、管理、经济、法学、艺术学等多学科协调发展的理工科大学，具有学士、硕士、博士学位授予权。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年学校面向全国三十个省（自治区、直辖市）招生。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学校成立招生工作领导小组和招生考试监察领导小组，全面负责贯彻执行教育部和有关省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普通高校招生主管部门相关政策。招生办公室为学校招生工作领导小组下设的常设机构。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学校根据发展规划、办学条件、生源状况和社会需求等因素制定分省分专业招生计划，具体以各省（自治区、直辖市）普通高校招生主管部门公布为准。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本科预留计划数不超过学校本科招生计划的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，用于调节各地统考上线生源的不平衡。在录取过程中，坚持集体决议，公开透明原则，根据各省（自治区、直辖市）的报考生源状况适当使用。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，依据公平、公正、公开的原则，综合衡量德智体美劳，并接受考生、家长以及社会各界的监督。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学校招生计划通过各省（自治区、直辖市）普通高校招生主管部门、学校招生简章、学校网站等形式向社会公布。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学校根据各省（自治区、直辖市）生源情况确定提档比例，按照顺序志愿投档的批次，调档比例控制在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以内。按照平行志愿投档的批次，调档比例控制在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对于享受各种增加分数投档优惠政策的考生按教育部和各省（自治区、直辖市）招生工作文件规定执行。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进档考生在思想政治品德考核和身体健康状况检查合格的情况下，根据考生高考投档成绩，专业安排按照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分数优先，遵循专业志愿（专业之间无分数级差）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分配专业。在投档成绩和专业志愿都同等条件下，按所在省（市、区）相关政策规定确定录取专业。如无相关规定，依次比较外语、数学、语文成绩。若投档成绩和上述科目成绩均相同，则由学校依据考生投档信息择优录取。考生所有专业志愿都无法满足时，若服从专业调剂，则根据考生成绩和学校其他专业志愿情况调剂录取，否则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考综合改革试点省份按生源所在地投档规则，择优录取，考生须符合专业（专业组）设定的选考科目要求。某些专业投档线上生源不足时，我校执行省级普通高校招生主管部门的相关规定，可调剂录取有服从专业调剂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江苏省考生要求学业水平测试等级为选测科目达到</w:t>
      </w:r>
      <w:r>
        <w:rPr>
          <w:rFonts w:ascii="Times New Roman" w:eastAsia="Times New Roman" w:hAnsi="Times New Roman" w:cs="Times New Roman"/>
        </w:rPr>
        <w:t>2B(</w:t>
      </w:r>
      <w:r>
        <w:rPr>
          <w:rFonts w:ascii="SimSun" w:eastAsia="SimSun" w:hAnsi="SimSun" w:cs="SimSun"/>
        </w:rPr>
        <w:t>含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以上。按照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的原则进行专业安排。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我校产品设计、环境设计和视觉传达设计（美术文、理）的考生，必须取得考生所在省（自治区、直辖市）美术类统考的本科专业考试成绩合格证。实行平行志愿投档省份，根据考生所在省份投档规则进行投档，学校负责审核录取；非平行志愿投档省份，在文化考试成绩达到考生所在地的省（自治区、直辖市）本科控制分数线的前提条件下，学校按其专业志愿序列和综合成绩从高分到低分择优录取：综合成绩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专业课成绩</w:t>
      </w:r>
      <w:r>
        <w:rPr>
          <w:rFonts w:ascii="Times New Roman" w:eastAsia="Times New Roman" w:hAnsi="Times New Roman" w:cs="Times New Roman"/>
        </w:rPr>
        <w:t>×60%+</w:t>
      </w:r>
      <w:r>
        <w:rPr>
          <w:rFonts w:ascii="SimSun" w:eastAsia="SimSun" w:hAnsi="SimSun" w:cs="SimSun"/>
        </w:rPr>
        <w:t>文化课成绩</w:t>
      </w:r>
      <w:r>
        <w:rPr>
          <w:rFonts w:ascii="Times New Roman" w:eastAsia="Times New Roman" w:hAnsi="Times New Roman" w:cs="Times New Roman"/>
        </w:rPr>
        <w:t>×40%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报考非外国语言文学类专业的考生，我校各专业不限制应试外语语种。我校公共外语为英语，请非英语语种考生慎重报考。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执行《普通高等学校招生体检工作指导意见》。新生入学后进行体检复查，凡不符合条件或有舞弊行为的，学校取消其入学资格，退回生源地。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录取时，应、往届生一视同仁。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我校实行学分制收费，学分制学费由公共课学分学费和专业课学分学费组成。将学分学费折算为学年学费，标准如下（甘发改收费</w:t>
      </w:r>
      <w:r>
        <w:rPr>
          <w:rFonts w:ascii="Times New Roman" w:eastAsia="Times New Roman" w:hAnsi="Times New Roman" w:cs="Times New Roman"/>
        </w:rPr>
        <w:t>[2012]1877</w:t>
      </w:r>
      <w:r>
        <w:rPr>
          <w:rFonts w:ascii="SimSun" w:eastAsia="SimSun" w:hAnsi="SimSun" w:cs="SimSun"/>
        </w:rPr>
        <w:t>号）：工科类专业</w:t>
      </w:r>
      <w:r>
        <w:rPr>
          <w:rFonts w:ascii="Times New Roman" w:eastAsia="Times New Roman" w:hAnsi="Times New Roman" w:cs="Times New Roman"/>
        </w:rPr>
        <w:t>4700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学年；建筑学、城市规划专业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学年；艺术类专业</w:t>
      </w:r>
      <w:r>
        <w:rPr>
          <w:rFonts w:ascii="Times New Roman" w:eastAsia="Times New Roman" w:hAnsi="Times New Roman" w:cs="Times New Roman"/>
        </w:rPr>
        <w:t>6800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学年；理科类专业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学年；外语类专业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学年；其他类专业学费为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软件工程专业一、二年级学费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学年，三、四年级学费</w:t>
      </w: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学年（甘发改收费</w:t>
      </w:r>
      <w:r>
        <w:rPr>
          <w:rFonts w:ascii="Times New Roman" w:eastAsia="Times New Roman" w:hAnsi="Times New Roman" w:cs="Times New Roman"/>
        </w:rPr>
        <w:t>[2012]1464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软件学院专科专业学费：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学年（甘发改收费</w:t>
      </w:r>
      <w:r>
        <w:rPr>
          <w:rFonts w:ascii="Times New Roman" w:eastAsia="Times New Roman" w:hAnsi="Times New Roman" w:cs="Times New Roman"/>
        </w:rPr>
        <w:t>[2010]1751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在新生入学时如有新的收费标准，按照新标准执行。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对家庭经济困难的新生，学校设有勤工助学服务中心、爱心基金委员会等机构，同时建立了多种奖学金、助学金、贷学金和勤工助学制度，帮助和指导经济困难学生开展勤工助学，发放困难补助和争取社会资助。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兰工坪校区地址：兰州市七里河区兰工坪路</w:t>
      </w:r>
      <w:r>
        <w:rPr>
          <w:rFonts w:ascii="Times New Roman" w:eastAsia="Times New Roman" w:hAnsi="Times New Roman" w:cs="Times New Roman"/>
        </w:rPr>
        <w:t>287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彭家坪校区地址：兰州市七里河区彭家坪路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http://www.lut.cn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招办网址：</w:t>
      </w:r>
      <w:r>
        <w:rPr>
          <w:rFonts w:ascii="Times New Roman" w:eastAsia="Times New Roman" w:hAnsi="Times New Roman" w:cs="Times New Roman"/>
        </w:rPr>
        <w:t xml:space="preserve">http://zhaosheng.lut.cn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gdzb@lut.edu.cn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0931-2973947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0931-2755263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730050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本章程适用于我校普通本科生招生工作，由学校招生办公室负责解释。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上海立信会计金融学院财公管联合培养硕士研究生毕业论文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云开题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29.html" TargetMode="External" /><Relationship Id="rId11" Type="http://schemas.openxmlformats.org/officeDocument/2006/relationships/hyperlink" Target="http://www.gk114.com/a/gxzs/zszc/gansu/2021/0623/20028.html" TargetMode="External" /><Relationship Id="rId12" Type="http://schemas.openxmlformats.org/officeDocument/2006/relationships/hyperlink" Target="http://www.gk114.com/a/gxzs/zszc/gansu/2021/0623/20027.html" TargetMode="External" /><Relationship Id="rId13" Type="http://schemas.openxmlformats.org/officeDocument/2006/relationships/hyperlink" Target="http://www.gk114.com/a/gxzs/zszc/gansu/2021/0623/20024.html" TargetMode="External" /><Relationship Id="rId14" Type="http://schemas.openxmlformats.org/officeDocument/2006/relationships/hyperlink" Target="http://www.gk114.com/a/gxzs/zszc/gansu/2021/0623/20020.html" TargetMode="External" /><Relationship Id="rId15" Type="http://schemas.openxmlformats.org/officeDocument/2006/relationships/hyperlink" Target="http://www.gk114.com/a/gxzs/zszc/gansu/2021/0623/20017.html" TargetMode="External" /><Relationship Id="rId16" Type="http://schemas.openxmlformats.org/officeDocument/2006/relationships/hyperlink" Target="http://www.gk114.com/a/gxzs/zszc/gansu/2021/0623/20013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832.html" TargetMode="External" /><Relationship Id="rId5" Type="http://schemas.openxmlformats.org/officeDocument/2006/relationships/hyperlink" Target="http://www.gk114.com/a/gxzs/zszc/gansu/2020/0615/16834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3.html" TargetMode="External" /><Relationship Id="rId8" Type="http://schemas.openxmlformats.org/officeDocument/2006/relationships/hyperlink" Target="http://www.gk114.com/a/gxzs/zszc/gansu/2022/0524/22510.html" TargetMode="External" /><Relationship Id="rId9" Type="http://schemas.openxmlformats.org/officeDocument/2006/relationships/hyperlink" Target="http://www.gk114.com/a/gxzs/zszc/gansu/2022/0328/219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