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兰州财经大学长青学院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为了维护学院和考生的合法权益，保证学院招生录取工作的顺利进行，根据《中华人民共和国教育法》、《中华人民共和国高等教育法》、《独立学院设置与管理办法》（教育部令第</w:t>
      </w:r>
      <w:r>
        <w:rPr>
          <w:rFonts w:ascii="Times New Roman" w:eastAsia="Times New Roman" w:hAnsi="Times New Roman" w:cs="Times New Roman"/>
        </w:rPr>
        <w:t>26</w:t>
      </w:r>
      <w:r>
        <w:rPr>
          <w:rFonts w:ascii="SimSun" w:eastAsia="SimSun" w:hAnsi="SimSun" w:cs="SimSun"/>
        </w:rPr>
        <w:t>号）和有关规定制定本章程。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兰州财经大学长青学院成立于</w:t>
      </w:r>
      <w:r>
        <w:rPr>
          <w:rFonts w:ascii="Times New Roman" w:eastAsia="Times New Roman" w:hAnsi="Times New Roman" w:cs="Times New Roman"/>
        </w:rPr>
        <w:t>2001</w:t>
      </w:r>
      <w:r>
        <w:rPr>
          <w:rFonts w:ascii="SimSun" w:eastAsia="SimSun" w:hAnsi="SimSun" w:cs="SimSun"/>
        </w:rPr>
        <w:t>年，是教育部确认的独立学院，属本科层次普通高等学校。学院面向全国招生，招生纳入国家普通高等学校统招计划。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学校全称：兰州财经大学长青学院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部编代码：</w:t>
      </w:r>
      <w:r>
        <w:rPr>
          <w:rFonts w:ascii="Times New Roman" w:eastAsia="Times New Roman" w:hAnsi="Times New Roman" w:cs="Times New Roman"/>
        </w:rPr>
        <w:t xml:space="preserve">13512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办学地点：甘肃省兰州市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学校地址：甘肃省兰州市城关区店子街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http://changqing.lzufe.edu.cn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0931—8698906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毕业证与学位证：学习期满成绩合格的学生，颁发兰州财经大学长青学院毕业证书，符合学士学位授予条件的，颁发兰州财经大学长青学院学士学位证书。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主管院领导和有关部门负责人组成的招生工作领导小组，全面负责贯彻落实教育部及各省、自治区（直辖市）教育行政部门的有关招生工作政策，执行学院有关招生工作的决议，讨论决定招生工作相关重要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招生工作纪检监察领导小组，负责监督招生录取各项政策和规定的落实，加强对招生工作人员的教育和监督，维护广大考生和学院的合法权益。学院招生工作同时接受考生、家长、社会各界和新闻媒体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学院招生办公室是学院组织和实施招生工作的常设机构。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在有关省（区、市）分专业招生人数，以教育部和各有关省级招生主管部门公布的招生来源计划为准。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学院招生工作在甘肃省教育厅和甘肃省高等学校招生委员会的领导和各省、自治区（直辖市）高校招生主管部门的统一组织下进行。遵循</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按照各省、自治区（直辖市）招生录取主管部门确定的录取控制分数线和投档管理模式进行录取。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依据考生电子档案录取新生，坚持从高分到低分择优录取。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有选考科目的省、自治区（直辖市），除省级招生录取机构有明确规定外，原则上以考生必考科目和我院选考科目的成绩总和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对考生录取的专业按照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进行安排。同时参照相关科目成绩的原则进行。优先满足和充分尊重考生填报的第一专业志愿（包括所填报的专业的志愿顺序）。第一专业志愿不能满足时，安排第二专业志愿，以此类推。若考生所报专业志愿均无法满足时，如服从专业调剂，将由学院根据实际情况调剂到相应专业。高考成绩无法满足所填报的专业志愿，又不服从调剂的，学院尽可能与考生取得联系，再次征求意见。如还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录取中的照顾政策按照教育部和各省、自治区（直辖市）的规定执行。对于各类增加分数和降低分数投档的考生，按标准分数同等对待。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做好未被录取考生的解释和其他遗留问题的处理工作。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对录取结果通过网络和有关媒体向社会公布，自觉接受纪检、监察和社会舆论的监督。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学院只招收英语语种考生，对于报考英语、商务英语专业的考生要求英语成绩良好。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对计算机科学与技术、软件工程、电子商务专业，在同等条件下优先招收数学成绩较高的学生。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对艺术设计专业，录取时认可甘肃省美术类统一考试的专业课成绩；在文化课、专业课成绩均达到最低录取分数线的前提下，依据专业课成绩择优录取。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所有招生专业均无男女比例和应往届限制。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对考生身体健康状况的要求，按照教育部、国家卫生健康委员会、中国残疾人联合会联合印发的《普通高等学校招生体检工作指导意见》执行。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学生各项收费按照《甘肃省发展和改革委员会关于印发〈甘肃省定价目录〉的通知》（甘发改规范</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号）文件精神执行，我院确定</w:t>
      </w:r>
      <w:r>
        <w:rPr>
          <w:rFonts w:ascii="Times New Roman" w:eastAsia="Times New Roman" w:hAnsi="Times New Roman" w:cs="Times New Roman"/>
        </w:rPr>
        <w:t>2020</w:t>
      </w:r>
      <w:r>
        <w:rPr>
          <w:rFonts w:ascii="SimSun" w:eastAsia="SimSun" w:hAnsi="SimSun" w:cs="SimSun"/>
        </w:rPr>
        <w:t>年新生收费标准为：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、学费：会计学、财务管理、审计学、资产评估、金融学、互联网金融六个专业：</w:t>
      </w:r>
      <w:r>
        <w:rPr>
          <w:rFonts w:ascii="Times New Roman" w:eastAsia="Times New Roman" w:hAnsi="Times New Roman" w:cs="Times New Roman"/>
        </w:rPr>
        <w:t>14000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15000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学年；计算机科学与技术、电子商务、软件工程专业：</w:t>
      </w:r>
      <w:r>
        <w:rPr>
          <w:rFonts w:ascii="Times New Roman" w:eastAsia="Times New Roman" w:hAnsi="Times New Roman" w:cs="Times New Roman"/>
        </w:rPr>
        <w:t>15000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学年；其他本科专业：</w:t>
      </w:r>
      <w:r>
        <w:rPr>
          <w:rFonts w:ascii="Times New Roman" w:eastAsia="Times New Roman" w:hAnsi="Times New Roman" w:cs="Times New Roman"/>
        </w:rPr>
        <w:t>13000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注：如遇收费标准调整则按新标准执行。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奖、助、贷、勤、补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学院现有完善的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困难学生资助体系，包括国家奖学金、国家励志奖学金、学院学生奖学金、国家助学金、国家生源地信用助学贷款、国家助学贷款奖补专项资金和勤工助学等。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奖学金分为</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学院学生奖学金。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（一）国家奖学金，奖励标准为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（二）国家励志奖学金，奖励标准为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二、院级学生奖学金（分为综合奖学金和单项奖学金）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（一）综合奖学金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学年；壹等奖</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学年；贰等奖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学年；叁等奖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能力竞赛奖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国家级奖励标准为：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2000</w:t>
      </w:r>
      <w:r>
        <w:rPr>
          <w:rFonts w:ascii="SimSun" w:eastAsia="SimSun" w:hAnsi="SimSun" w:cs="SimSun"/>
        </w:rPr>
        <w:t>元；壹等奖</w:t>
      </w:r>
      <w:r>
        <w:rPr>
          <w:rFonts w:ascii="Times New Roman" w:eastAsia="Times New Roman" w:hAnsi="Times New Roman" w:cs="Times New Roman"/>
        </w:rPr>
        <w:t>1000</w:t>
      </w:r>
      <w:r>
        <w:rPr>
          <w:rFonts w:ascii="SimSun" w:eastAsia="SimSun" w:hAnsi="SimSun" w:cs="SimSun"/>
        </w:rPr>
        <w:t>元；贰等奖</w:t>
      </w:r>
      <w:r>
        <w:rPr>
          <w:rFonts w:ascii="Times New Roman" w:eastAsia="Times New Roman" w:hAnsi="Times New Roman" w:cs="Times New Roman"/>
        </w:rPr>
        <w:t>800</w:t>
      </w:r>
      <w:r>
        <w:rPr>
          <w:rFonts w:ascii="SimSun" w:eastAsia="SimSun" w:hAnsi="SimSun" w:cs="SimSun"/>
        </w:rPr>
        <w:t>元；叁等奖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省级奖励标准为：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1000</w:t>
      </w:r>
      <w:r>
        <w:rPr>
          <w:rFonts w:ascii="SimSun" w:eastAsia="SimSun" w:hAnsi="SimSun" w:cs="SimSun"/>
        </w:rPr>
        <w:t>元；壹等奖</w:t>
      </w:r>
      <w:r>
        <w:rPr>
          <w:rFonts w:ascii="Times New Roman" w:eastAsia="Times New Roman" w:hAnsi="Times New Roman" w:cs="Times New Roman"/>
        </w:rPr>
        <w:t>600</w:t>
      </w:r>
      <w:r>
        <w:rPr>
          <w:rFonts w:ascii="SimSun" w:eastAsia="SimSun" w:hAnsi="SimSun" w:cs="SimSun"/>
        </w:rPr>
        <w:t>元；贰等奖</w:t>
      </w:r>
      <w:r>
        <w:rPr>
          <w:rFonts w:ascii="Times New Roman" w:eastAsia="Times New Roman" w:hAnsi="Times New Roman" w:cs="Times New Roman"/>
        </w:rPr>
        <w:t>400</w:t>
      </w:r>
      <w:r>
        <w:rPr>
          <w:rFonts w:ascii="SimSun" w:eastAsia="SimSun" w:hAnsi="SimSun" w:cs="SimSun"/>
        </w:rPr>
        <w:t>元；叁等奖</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考研激励奖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参加全国硕士研究生考试，凭《录取通知书》一次性奖励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根据财政部、教育部、银监会《关于大力开展生源地信用助学贷款的通知》（财教</w:t>
      </w:r>
      <w:r>
        <w:rPr>
          <w:rFonts w:ascii="Times New Roman" w:eastAsia="Times New Roman" w:hAnsi="Times New Roman" w:cs="Times New Roman"/>
        </w:rPr>
        <w:t>[2008]196</w:t>
      </w:r>
      <w:r>
        <w:rPr>
          <w:rFonts w:ascii="SimSun" w:eastAsia="SimSun" w:hAnsi="SimSun" w:cs="SimSun"/>
        </w:rPr>
        <w:t>号）精神，被高等学校录取的家庭经济困难新生，在报到入学前可按照本省（市、区）生源地信用助学贷款管理的相关规定，到生源地助学贷款地区的县级教育行政部门资助管理中心申请办理每年最高</w:t>
      </w:r>
      <w:r>
        <w:rPr>
          <w:rFonts w:ascii="Times New Roman" w:eastAsia="Times New Roman" w:hAnsi="Times New Roman" w:cs="Times New Roman"/>
        </w:rPr>
        <w:t>8000</w:t>
      </w:r>
      <w:r>
        <w:rPr>
          <w:rFonts w:ascii="SimSun" w:eastAsia="SimSun" w:hAnsi="SimSun" w:cs="SimSun"/>
        </w:rPr>
        <w:t>元的生源地信用助学贷款，用于解决学生在校期间的学费和住宿费。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家庭经济困难学生可申请享受国家助学金（平均资助标准为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学年）、国家助学贷款奖补专项资金和勤工助学。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本章程由兰州财经大学长青学院招生办公室负责解释。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兰州财经大学陇桥学院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兰州交通大学博文学院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6.html" TargetMode="External" /><Relationship Id="rId5" Type="http://schemas.openxmlformats.org/officeDocument/2006/relationships/hyperlink" Target="http://www.gk114.com/a/gxzs/zszc/gansu/2020/0615/1680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