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内蒙古商贸职业学院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根据《中华人民共和国教育法》、《中华人民共和国高等教育法》及国家教育主管部门的相关规定，为更好地贯彻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的要求，保证学院招生录取工作的顺利进行，制定本章程。本章程适用内蒙古商贸职业学院高职（专科）层次的招生工作。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内蒙古商贸职业学院招生录取工作坚持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制度，严格实施阳光工程，遵循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程序，自觉接受考生、社会和纪检监察部门监督，切实保障考生公平竞争权利。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学校全称：内蒙古商贸职业学院，</w:t>
      </w:r>
      <w:r>
        <w:rPr>
          <w:rFonts w:ascii="Times New Roman" w:eastAsia="Times New Roman" w:hAnsi="Times New Roman" w:cs="Times New Roman"/>
        </w:rPr>
        <w:t>12676</w:t>
      </w:r>
      <w:r>
        <w:rPr>
          <w:rFonts w:ascii="SimSun" w:eastAsia="SimSun" w:hAnsi="SimSun" w:cs="SimSun"/>
        </w:rPr>
        <w:t>（国标代码），</w:t>
      </w:r>
      <w:r>
        <w:rPr>
          <w:rFonts w:ascii="Times New Roman" w:eastAsia="Times New Roman" w:hAnsi="Times New Roman" w:cs="Times New Roman"/>
        </w:rPr>
        <w:t>779</w:t>
      </w:r>
      <w:r>
        <w:rPr>
          <w:rFonts w:ascii="SimSun" w:eastAsia="SimSun" w:hAnsi="SimSun" w:cs="SimSun"/>
        </w:rPr>
        <w:t>（内蒙古自治区报考学校代号）。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办学类型：公办普通全日制高等教育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办学层次：高职（专科）层次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颁发学历证书的学校名称：内蒙古商贸职业学院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证书种类：国家承认学历的普通高校专科毕业证书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内蒙古商贸职业学院创建于</w:t>
      </w:r>
      <w:r>
        <w:rPr>
          <w:rFonts w:ascii="Times New Roman" w:eastAsia="Times New Roman" w:hAnsi="Times New Roman" w:cs="Times New Roman"/>
        </w:rPr>
        <w:t>1952</w:t>
      </w:r>
      <w:r>
        <w:rPr>
          <w:rFonts w:ascii="SimSun" w:eastAsia="SimSun" w:hAnsi="SimSun" w:cs="SimSun"/>
        </w:rPr>
        <w:t>年，是教育部批准独立设置，隶属于自治区教育厅的一所学科类别齐全、面向区内外招生的公办全日制普通高等职业院校，是国家级优质学校建设单位、国家级现代学徒制试点学校、自治区级文明校园、自治区级示范性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学院位于塞外名城呼和浩特市青山脚下的大学城，占地</w:t>
      </w:r>
      <w:r>
        <w:rPr>
          <w:rFonts w:ascii="Times New Roman" w:eastAsia="Times New Roman" w:hAnsi="Times New Roman" w:cs="Times New Roman"/>
        </w:rPr>
        <w:t>916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万平方米。优美的校园环境，怡人的周边景色，便利的交通设施，为师生提供优雅、舒适、和谐、平安的学习生活环境。学院拥有极具影响力和实践教学经验的教学专家团队、规范的教育教学管理体系。学院教学设施齐全，多媒体教室，标准化实习实训中心、校外实训基地、体育场馆、文体馆、大学生创业园等。学院还设有职业技能鉴定所、普通话测试站。学院图书馆馆藏纸质图书</w:t>
      </w:r>
      <w:r>
        <w:rPr>
          <w:rFonts w:ascii="Times New Roman" w:eastAsia="Times New Roman" w:hAnsi="Times New Roman" w:cs="Times New Roman"/>
        </w:rPr>
        <w:t>32.63</w:t>
      </w:r>
      <w:r>
        <w:rPr>
          <w:rFonts w:ascii="SimSun" w:eastAsia="SimSun" w:hAnsi="SimSun" w:cs="SimSun"/>
        </w:rPr>
        <w:t>万册，电子图书</w:t>
      </w:r>
      <w:r>
        <w:rPr>
          <w:rFonts w:ascii="Times New Roman" w:eastAsia="Times New Roman" w:hAnsi="Times New Roman" w:cs="Times New Roman"/>
        </w:rPr>
        <w:t>46</w:t>
      </w:r>
      <w:r>
        <w:rPr>
          <w:rFonts w:ascii="SimSun" w:eastAsia="SimSun" w:hAnsi="SimSun" w:cs="SimSun"/>
        </w:rPr>
        <w:t>万册。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学院现设七系四部：商务系、经营管理系、会计系、旅游系、信息技术系、艺术设计系、食品工程系，国际教育教学部、社科基础教学部、体育教学部和中职教育教学部，开设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大类专业群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SimSun" w:eastAsia="SimSun" w:hAnsi="SimSun" w:cs="SimSun"/>
        </w:rPr>
        <w:t>个专业。学院现有教职工</w:t>
      </w:r>
      <w:r>
        <w:rPr>
          <w:rFonts w:ascii="Times New Roman" w:eastAsia="Times New Roman" w:hAnsi="Times New Roman" w:cs="Times New Roman"/>
        </w:rPr>
        <w:t>584</w:t>
      </w:r>
      <w:r>
        <w:rPr>
          <w:rFonts w:ascii="SimSun" w:eastAsia="SimSun" w:hAnsi="SimSun" w:cs="SimSun"/>
        </w:rPr>
        <w:t>人，专任教师</w:t>
      </w:r>
      <w:r>
        <w:rPr>
          <w:rFonts w:ascii="Times New Roman" w:eastAsia="Times New Roman" w:hAnsi="Times New Roman" w:cs="Times New Roman"/>
        </w:rPr>
        <w:t>375</w:t>
      </w:r>
      <w:r>
        <w:rPr>
          <w:rFonts w:ascii="SimSun" w:eastAsia="SimSun" w:hAnsi="SimSun" w:cs="SimSun"/>
        </w:rPr>
        <w:t>人，教授</w:t>
      </w:r>
      <w:r>
        <w:rPr>
          <w:rFonts w:ascii="Times New Roman" w:eastAsia="Times New Roman" w:hAnsi="Times New Roman" w:cs="Times New Roman"/>
        </w:rPr>
        <w:t>36</w:t>
      </w:r>
      <w:r>
        <w:rPr>
          <w:rFonts w:ascii="SimSun" w:eastAsia="SimSun" w:hAnsi="SimSun" w:cs="SimSun"/>
        </w:rPr>
        <w:t>人，副教授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人，讲师</w:t>
      </w:r>
      <w:r>
        <w:rPr>
          <w:rFonts w:ascii="Times New Roman" w:eastAsia="Times New Roman" w:hAnsi="Times New Roman" w:cs="Times New Roman"/>
        </w:rPr>
        <w:t>314</w:t>
      </w:r>
      <w:r>
        <w:rPr>
          <w:rFonts w:ascii="SimSun" w:eastAsia="SimSun" w:hAnsi="SimSun" w:cs="SimSun"/>
        </w:rPr>
        <w:t>人。拥有自治区教学团队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个，在校生万余人。学院设有国家奖学金、国家励志奖学金、国家助学金、企业奖学金、单项奖学金，并设有充足的勤工助学岗位和多种补贴等学生奖励资助渠道。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以习近平新时代中国特色社会主义思想为指导，全面贯彻党的教育方针，以国家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优质校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特高计划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为契机，以立德树人为根本，以《国家职业教育改革实施方案》为指引，以服务发展、促进就业为导向，坚持产教融合、校企合作、工学结合、知行合一，坚持深化改革、特色发展、依法治校、民主管理，立足现代服务业，面向自治区，不断提升治理能力和人才培养水平，为促进自治区经济社会发展培养高素质技术技能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领导小组负责确定招生政策，决定招生工作重大事项，是招生录取工作的领导机构，由院长、主管教学的副院长、纪检监审处、学院招生与考试办公室、各系部等人员和部门组成。其中，院长全面领导学院招生工作领导小组工作；纪检监审处监督检查招生章程执行情况，保证招生工作公平公正，受理信访举报，处理违法违纪行为；学院招生与考试办公室负责招生录取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根据国家教育部、内蒙古自治区教育厅、内蒙古自治区招生委员会办公室相关规定，招生录取工作组织实施由学院招生工作领导小组决定。学院不委托任何中介机构和个人私自从事招生工作。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学院招生计划根据年度招生规模，统筹考虑学院人才培养目标、办学条件、社会需求、生源质量、毕业生就业等因素，编制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年分省来源计划与专业招生计划由有关省（自治区、直辖市）招生管理部门按规定的方式向社会公布。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公开、公平、公正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的原则，录取及安排专业以投档分为准，采用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规则录取考生。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当考生排序成绩相同时，文科类考生依次按语文、文科综合、外语、文科数学；理科类考生依次按理科数学、理科综合、语文、外语进行排序，择优安排专业。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美术类考生录取方式，只承认自治区美术类专业统考合格成绩。录取时采取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方式按文化课成绩从高分到低分录取。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学费、住宿费等收费严格按照自治区教育厅、物价部门核准的当年收费标准执行。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建立了完善的优秀学生奖学金制度和困难学生资助制度。学院设有国家奖学金、国家励志奖学金、学院奖学金等各类专项奖学金。实行了国家助学金、国家助学贷款、勤工助学、困难补助等资助政策，建立了大学新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对考生的身体健康要求，依据教育部、卫生部、中国残疾人联合会颁布的《普通高等学校招生体检工作指导意见》有关规定执行。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本章程经内蒙古商贸职业学院招生工作领导小组审定，上报内蒙古自治区教育厅审核通过，经内蒙古自治区招生委员会办公室公布生效。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商贸职业学院以往有关招生工作的规定如与本章程相冲突，以本章程为准。本章程若与国家法规、规章以及上级有关政策相抵触，以国家法规、规章及上级有关政策为准。本章程由内蒙古商贸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其他未尽事宜请关注内蒙古招生考试信息网或学院招生网站通知。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学校地址：呼和浩特市赛罕区大学城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0471-5279864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www.imvcc.com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招生微信号：</w:t>
      </w:r>
      <w:r>
        <w:rPr>
          <w:rFonts w:ascii="Times New Roman" w:eastAsia="Times New Roman" w:hAnsi="Times New Roman" w:cs="Times New Roman"/>
        </w:rPr>
        <w:t xml:space="preserve">smxyzsb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34.html" TargetMode="External" /><Relationship Id="rId5" Type="http://schemas.openxmlformats.org/officeDocument/2006/relationships/hyperlink" Target="http://www.gk114.com/a/gxzs/zszc/nmg/2019/0514/893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