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第一条根据《中华人民共和国教育法》、《中华人民共和国高等教育法》及国家教育主管部门相关规定，为更好地贯彻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的要求，保证学校招生工作的顺利进行，制定本章程。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第二条学校的校名为内蒙古工业大学，学校英文名称：</w:t>
      </w:r>
      <w:r>
        <w:rPr>
          <w:rFonts w:ascii="Times New Roman" w:eastAsia="Times New Roman" w:hAnsi="Times New Roman" w:cs="Times New Roman"/>
        </w:rPr>
        <w:t>Inner Mongolia University ofTechnology</w:t>
      </w:r>
      <w:r>
        <w:rPr>
          <w:rFonts w:ascii="SimSun" w:eastAsia="SimSun" w:hAnsi="SimSun" w:cs="SimSun"/>
        </w:rPr>
        <w:t>，学校国标代码：</w:t>
      </w:r>
      <w:r>
        <w:rPr>
          <w:rFonts w:ascii="Times New Roman" w:eastAsia="Times New Roman" w:hAnsi="Times New Roman" w:cs="Times New Roman"/>
        </w:rPr>
        <w:t xml:space="preserve">10128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工业大学是教育部批准设立的全日制普通高等学校，是一所以工为主，工、理、文、经、管、法、教育、艺术相结合的多科性大学，是内蒙古自治区重点建设的高校之一。学校隶属于内蒙古自治区人民政府，主管部门为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内蒙古工业大学始建于</w:t>
      </w:r>
      <w:r>
        <w:rPr>
          <w:rFonts w:ascii="Times New Roman" w:eastAsia="Times New Roman" w:hAnsi="Times New Roman" w:cs="Times New Roman"/>
        </w:rPr>
        <w:t>1951</w:t>
      </w:r>
      <w:r>
        <w:rPr>
          <w:rFonts w:ascii="SimSun" w:eastAsia="SimSun" w:hAnsi="SimSun" w:cs="SimSun"/>
        </w:rPr>
        <w:t>年，曾隶属于机械工业部、农业机械部。学校下设</w:t>
      </w:r>
      <w:r>
        <w:rPr>
          <w:rFonts w:ascii="Times New Roman" w:eastAsia="Times New Roman" w:hAnsi="Times New Roman" w:cs="Times New Roman"/>
        </w:rPr>
        <w:t>25</w:t>
      </w:r>
      <w:r>
        <w:rPr>
          <w:rFonts w:ascii="SimSun" w:eastAsia="SimSun" w:hAnsi="SimSun" w:cs="SimSun"/>
        </w:rPr>
        <w:t>个院（部、中心），有博士学位授权一级学科</w:t>
      </w:r>
      <w:r>
        <w:rPr>
          <w:rFonts w:ascii="Times New Roman" w:eastAsia="Times New Roman" w:hAnsi="Times New Roman" w:cs="Times New Roman"/>
        </w:rPr>
        <w:t>3</w:t>
      </w:r>
      <w:r>
        <w:rPr>
          <w:rFonts w:ascii="SimSun" w:eastAsia="SimSun" w:hAnsi="SimSun" w:cs="SimSun"/>
        </w:rPr>
        <w:t>个、博士学位授权二级学科</w:t>
      </w:r>
      <w:r>
        <w:rPr>
          <w:rFonts w:ascii="Times New Roman" w:eastAsia="Times New Roman" w:hAnsi="Times New Roman" w:cs="Times New Roman"/>
        </w:rPr>
        <w:t>1</w:t>
      </w:r>
      <w:r>
        <w:rPr>
          <w:rFonts w:ascii="SimSun" w:eastAsia="SimSun" w:hAnsi="SimSun" w:cs="SimSun"/>
        </w:rPr>
        <w:t>个、硕士学位授权一级学科</w:t>
      </w:r>
      <w:r>
        <w:rPr>
          <w:rFonts w:ascii="Times New Roman" w:eastAsia="Times New Roman" w:hAnsi="Times New Roman" w:cs="Times New Roman"/>
        </w:rPr>
        <w:t>18</w:t>
      </w:r>
      <w:r>
        <w:rPr>
          <w:rFonts w:ascii="SimSun" w:eastAsia="SimSun" w:hAnsi="SimSun" w:cs="SimSun"/>
        </w:rPr>
        <w:t>个、硕士学位授权二级学科</w:t>
      </w:r>
      <w:r>
        <w:rPr>
          <w:rFonts w:ascii="Times New Roman" w:eastAsia="Times New Roman" w:hAnsi="Times New Roman" w:cs="Times New Roman"/>
        </w:rPr>
        <w:t>10</w:t>
      </w:r>
      <w:r>
        <w:rPr>
          <w:rFonts w:ascii="SimSun" w:eastAsia="SimSun" w:hAnsi="SimSun" w:cs="SimSun"/>
        </w:rPr>
        <w:t>个，有工程硕士、工商管理硕士（</w:t>
      </w:r>
      <w:r>
        <w:rPr>
          <w:rFonts w:ascii="Times New Roman" w:eastAsia="Times New Roman" w:hAnsi="Times New Roman" w:cs="Times New Roman"/>
        </w:rPr>
        <w:t>MBA</w:t>
      </w:r>
      <w:r>
        <w:rPr>
          <w:rFonts w:ascii="SimSun" w:eastAsia="SimSun" w:hAnsi="SimSun" w:cs="SimSun"/>
        </w:rPr>
        <w:t>）、工程管理硕士（</w:t>
      </w:r>
      <w:r>
        <w:rPr>
          <w:rFonts w:ascii="Times New Roman" w:eastAsia="Times New Roman" w:hAnsi="Times New Roman" w:cs="Times New Roman"/>
        </w:rPr>
        <w:t>MEM</w:t>
      </w:r>
      <w:r>
        <w:rPr>
          <w:rFonts w:ascii="SimSun" w:eastAsia="SimSun" w:hAnsi="SimSun" w:cs="SimSun"/>
        </w:rPr>
        <w:t>）、建筑学硕士、翻译硕士（</w:t>
      </w:r>
      <w:r>
        <w:rPr>
          <w:rFonts w:ascii="Times New Roman" w:eastAsia="Times New Roman" w:hAnsi="Times New Roman" w:cs="Times New Roman"/>
        </w:rPr>
        <w:t>MTI</w:t>
      </w:r>
      <w:r>
        <w:rPr>
          <w:rFonts w:ascii="SimSun" w:eastAsia="SimSun" w:hAnsi="SimSun" w:cs="SimSun"/>
        </w:rPr>
        <w:t>）和社会工作硕士（</w:t>
      </w:r>
      <w:r>
        <w:rPr>
          <w:rFonts w:ascii="Times New Roman" w:eastAsia="Times New Roman" w:hAnsi="Times New Roman" w:cs="Times New Roman"/>
        </w:rPr>
        <w:t>MSW</w:t>
      </w:r>
      <w:r>
        <w:rPr>
          <w:rFonts w:ascii="SimSun" w:eastAsia="SimSun" w:hAnsi="SimSun" w:cs="SimSun"/>
        </w:rPr>
        <w:t>）专业学位授权类别共</w:t>
      </w:r>
      <w:r>
        <w:rPr>
          <w:rFonts w:ascii="Times New Roman" w:eastAsia="Times New Roman" w:hAnsi="Times New Roman" w:cs="Times New Roman"/>
        </w:rPr>
        <w:t>6</w:t>
      </w:r>
      <w:r>
        <w:rPr>
          <w:rFonts w:ascii="SimSun" w:eastAsia="SimSun" w:hAnsi="SimSun" w:cs="SimSun"/>
        </w:rPr>
        <w:t>个，有本科专业</w:t>
      </w:r>
      <w:r>
        <w:rPr>
          <w:rFonts w:ascii="Times New Roman" w:eastAsia="Times New Roman" w:hAnsi="Times New Roman" w:cs="Times New Roman"/>
        </w:rPr>
        <w:t>70</w:t>
      </w:r>
      <w:r>
        <w:rPr>
          <w:rFonts w:ascii="SimSun" w:eastAsia="SimSun" w:hAnsi="SimSun" w:cs="SimSun"/>
        </w:rPr>
        <w:t>个，具有推荐优秀本科生免试攻读硕士研究生资格。所设专业基本覆盖了自治区主要工业门类和主干产业，形成了研究生、普通本科（含民族预科）、高等职业教育、继续教育等多层次的办学格局。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学校现有三个校区，新城校区位于呼和浩特市新城区爱民街</w:t>
      </w:r>
      <w:r>
        <w:rPr>
          <w:rFonts w:ascii="Times New Roman" w:eastAsia="Times New Roman" w:hAnsi="Times New Roman" w:cs="Times New Roman"/>
        </w:rPr>
        <w:t>49</w:t>
      </w:r>
      <w:r>
        <w:rPr>
          <w:rFonts w:ascii="SimSun" w:eastAsia="SimSun" w:hAnsi="SimSun" w:cs="SimSun"/>
        </w:rPr>
        <w:t>号；金川校区位于呼和浩特市经济技术开发区金川工业园区；准格尔校区位于鄂尔多斯市准格尔旗大路新区。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第五条内蒙古工业大学招生工作遵循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，及时公开招生政策、招生资格、招生章程、招生计划、考生资格、录取程序、录取结果、咨询及申诉渠道、重大事件违规处理结果、录取新生复查结果等信息。接受考生、家长及社会各界的监督。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第六条内蒙古工业大学</w:t>
      </w:r>
      <w:r>
        <w:rPr>
          <w:rFonts w:ascii="Times New Roman" w:eastAsia="Times New Roman" w:hAnsi="Times New Roman" w:cs="Times New Roman"/>
        </w:rPr>
        <w:t>2018</w:t>
      </w:r>
      <w:r>
        <w:rPr>
          <w:rFonts w:ascii="SimSun" w:eastAsia="SimSun" w:hAnsi="SimSun" w:cs="SimSun"/>
        </w:rPr>
        <w:t>年普通高校分省分专业招生来源计划按内蒙古自治区教育厅正式下达的招生计划执行，详见我校招生网或招生专刊。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第七条内蒙古工业大学设立学校招生委员会，由校领导和有关部门负责人及教师、学生、校友代表组成，全面负责领导内蒙古工业大学的招生工作。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第八条内蒙古工业大学招生委员会下设本专科生招生工作组，具体负责学校普通本科及高职高专的招生工作。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第九条内蒙古工业大学纪委、监察部门对招生工作实施监督监察。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　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第十条招生录取工作执行教育部和各省（自治区、直辖市）招生委员会制定的录取政策和本招生章程公布的有关规定，根据各省（自治区、直辖市）招生委员会划定的录取控制分数线，结合考生成绩择优录取。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学校根据在各省（自治区、直辖市）的招生计划及其划定的批次最低控制分数线和考生情况确定提档比例，按照顺序志愿投档的批次，学校调阅考生档案的比例原则上控制在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、内蒙古自治区考生录取时采取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、内蒙古自治区外其他省市考生录取采用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的方式录取，即在同一个学校志愿中，按照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原则上认可各省（自治区、直辖市）省级招生部门有关加分和优先录取的规定。录取和专业安排以考生投档成绩为准。若同一专业考生中录取最低分出现平行分，文科依次比较语文、文科综合、外语、文科数学；理科依次比较理科数学、理科综合、语文、外语，在招生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、艺术类专业录取按专业志愿清的原则进行。专业课成绩达到所在省（自治区、直辖市）统考最低控制分数线，根据考生所报志愿，我校按照考生的综合成绩（综合成绩</w:t>
      </w:r>
      <w:r>
        <w:rPr>
          <w:rFonts w:ascii="Times New Roman" w:eastAsia="Times New Roman" w:hAnsi="Times New Roman" w:cs="Times New Roman"/>
        </w:rPr>
        <w:t xml:space="preserve"> =</w:t>
      </w:r>
      <w:r>
        <w:rPr>
          <w:rFonts w:ascii="SimSun" w:eastAsia="SimSun" w:hAnsi="SimSun" w:cs="SimSun"/>
        </w:rPr>
        <w:t>［考生文化课成绩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［考生专业课成绩</w:t>
      </w:r>
      <w:r>
        <w:rPr>
          <w:rFonts w:ascii="Times New Roman" w:eastAsia="Times New Roman" w:hAnsi="Times New Roman" w:cs="Times New Roman"/>
        </w:rPr>
        <w:t>×40%</w:t>
      </w:r>
      <w:r>
        <w:rPr>
          <w:rFonts w:ascii="SimSun" w:eastAsia="SimSun" w:hAnsi="SimSun" w:cs="SimSun"/>
        </w:rPr>
        <w:t>］）由高到低，择优录取。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若同一专业考生中录取最低分出现平行分，依次比较文化课投档总分、艺术统考或联考成绩、语文、外语、文科综合或理科综合、文科数学或理科数学，在招生范围内择优录取。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、报考英语专业的考生，应试语种为英语；报考德语专业的考生，应试语种为德语或英语。英语或德语单科成绩必须达到</w:t>
      </w:r>
      <w:r>
        <w:rPr>
          <w:rFonts w:ascii="Times New Roman" w:eastAsia="Times New Roman" w:hAnsi="Times New Roman" w:cs="Times New Roman"/>
        </w:rPr>
        <w:t>100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建筑学、城乡规划及风景园林专业要求考生具有一定的美术基础。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　其　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第十四条录取的体检标准按教育部、卫生部、中国残疾人联合会印发的《普通高等学校招生体检工作指导意见》执行。考生由于身体原因，对不适合其报考的专业按规定进行合理的调整。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第十五条新生入学后按规定对其进行健康复查，对复查后不能进行正常学习的或被查出在体检过程中弄虚作假的，按学校学生管理等有关规定处理，视情节严重直至取消其入学资格。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对考生的应试语种原则上不予限制。但受现有师资、设备等条件的限制，除开设日语课、俄语课外，新生入学后一般按照英语组织外语教学。部分专业的外语课程只开设英语教学，建议非英语语种考生谨慎报考，具体参见当年公布的学校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第十七条经教育部批准，学校</w:t>
      </w:r>
      <w:r>
        <w:rPr>
          <w:rFonts w:ascii="Times New Roman" w:eastAsia="Times New Roman" w:hAnsi="Times New Roman" w:cs="Times New Roman"/>
        </w:rPr>
        <w:t>2018</w:t>
      </w:r>
      <w:r>
        <w:rPr>
          <w:rFonts w:ascii="SimSun" w:eastAsia="SimSun" w:hAnsi="SimSun" w:cs="SimSun"/>
        </w:rPr>
        <w:t>年继续招收高水平运动员，录取原则参见《内蒙古工业大学</w:t>
      </w:r>
      <w:r>
        <w:rPr>
          <w:rFonts w:ascii="Times New Roman" w:eastAsia="Times New Roman" w:hAnsi="Times New Roman" w:cs="Times New Roman"/>
        </w:rPr>
        <w:t>2018</w:t>
      </w:r>
      <w:r>
        <w:rPr>
          <w:rFonts w:ascii="SimSun" w:eastAsia="SimSun" w:hAnsi="SimSun" w:cs="SimSun"/>
        </w:rPr>
        <w:t>年高水平运动员招生简章》。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第十八条我校少数民族本科预科学制为一年，预科一年后的录取与选拔执行教育部教民</w:t>
      </w:r>
      <w:r>
        <w:rPr>
          <w:rFonts w:ascii="Times New Roman" w:eastAsia="Times New Roman" w:hAnsi="Times New Roman" w:cs="Times New Roman"/>
        </w:rPr>
        <w:t>[2005]5</w:t>
      </w:r>
      <w:r>
        <w:rPr>
          <w:rFonts w:ascii="SimSun" w:eastAsia="SimSun" w:hAnsi="SimSun" w:cs="SimSun"/>
        </w:rPr>
        <w:t>号文件规定，专业分配按内蒙古工业大学有关规定执行。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第十九条内蒙古工业大学新生学费按照内蒙古自治区物价部门批准的标准执行，并通过各省级教育主管部门公布。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第二十条内蒙古工业大学在各省（自治区、直辖市）的分专业招生计划、专业介绍、奖贷助学金政策等详细信息参见当年学校招生专刊或招生网站。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第二十一条内蒙古工业大学网址：</w:t>
      </w:r>
      <w:r>
        <w:rPr>
          <w:rFonts w:ascii="Times New Roman" w:eastAsia="Times New Roman" w:hAnsi="Times New Roman" w:cs="Times New Roman"/>
        </w:rPr>
        <w:t xml:space="preserve">http://www.imut.edu.cn </w:t>
      </w:r>
      <w:r>
        <w:rPr>
          <w:rFonts w:ascii="SimSun" w:eastAsia="SimSun" w:hAnsi="SimSun" w:cs="SimSun"/>
        </w:rPr>
        <w:t>、招生网址：</w:t>
      </w:r>
      <w:r>
        <w:rPr>
          <w:rFonts w:ascii="Times New Roman" w:eastAsia="Times New Roman" w:hAnsi="Times New Roman" w:cs="Times New Roman"/>
        </w:rPr>
        <w:t>http://zsb.imut.edu.cn/</w:t>
      </w:r>
      <w:r>
        <w:rPr>
          <w:rFonts w:ascii="SimSun" w:eastAsia="SimSun" w:hAnsi="SimSun" w:cs="SimSun"/>
        </w:rPr>
        <w:t>，电子信箱：</w:t>
      </w:r>
      <w:r>
        <w:rPr>
          <w:rFonts w:ascii="Times New Roman" w:eastAsia="Times New Roman" w:hAnsi="Times New Roman" w:cs="Times New Roman"/>
        </w:rPr>
        <w:t>zsb@imut.edu.cn</w:t>
      </w:r>
      <w:r>
        <w:rPr>
          <w:rFonts w:ascii="SimSun" w:eastAsia="SimSun" w:hAnsi="SimSun" w:cs="SimSun"/>
        </w:rPr>
        <w:t>，咨询电话：</w:t>
      </w:r>
      <w:r>
        <w:rPr>
          <w:rFonts w:ascii="Times New Roman" w:eastAsia="Times New Roman" w:hAnsi="Times New Roman" w:cs="Times New Roman"/>
        </w:rPr>
        <w:t>0471-6576346(</w:t>
      </w:r>
      <w:r>
        <w:rPr>
          <w:rFonts w:ascii="SimSun" w:eastAsia="SimSun" w:hAnsi="SimSun" w:cs="SimSun"/>
        </w:rPr>
        <w:t>兼传真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第二十二条内蒙古工业大学以往有关招生工作的要求、规定如与本章程相冲突，以本章程为准。本章程若与上级有关政策相抵触，以上级有关政策为准。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第二十三条本章程由内蒙古工业大学负责解释。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46.html" TargetMode="External" /><Relationship Id="rId5" Type="http://schemas.openxmlformats.org/officeDocument/2006/relationships/hyperlink" Target="http://www.gk114.com/a/gxzs/zszc/nmg/2019/0221/644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