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根据《中华人民共和国教育法》、《中华人民共和国高等教育法》等相关文件要求，结合学校实际情况，制定内蒙古师范大学</w:t>
      </w:r>
      <w:r>
        <w:rPr>
          <w:rFonts w:ascii="Microsoft YaHei" w:eastAsia="Microsoft YaHei" w:hAnsi="Microsoft YaHei" w:cs="Microsoft YaHei"/>
          <w:color w:val="333333"/>
        </w:rPr>
        <w:t>202</w:t>
      </w:r>
      <w:r>
        <w:rPr>
          <w:rFonts w:ascii="Microsoft YaHei" w:eastAsia="Microsoft YaHei" w:hAnsi="Microsoft YaHei" w:cs="Microsoft YaHei"/>
          <w:color w:val="333333"/>
        </w:rPr>
        <w:t>3年招生章程。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学校名称、办学地点及层次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学校名称：内蒙古师范大学</w:t>
      </w:r>
      <w:r>
        <w:rPr>
          <w:rFonts w:ascii="Microsoft YaHei" w:eastAsia="Microsoft YaHei" w:hAnsi="Microsoft YaHei" w:cs="Microsoft YaHei"/>
          <w:color w:val="333333"/>
        </w:rPr>
        <w:t>  国标代码：10135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赛罕校区：呼和浩特市昭乌达路</w:t>
      </w:r>
      <w:r>
        <w:rPr>
          <w:rFonts w:ascii="Microsoft YaHei" w:eastAsia="Microsoft YaHei" w:hAnsi="Microsoft YaHei" w:cs="Microsoft YaHei"/>
          <w:color w:val="333333"/>
        </w:rPr>
        <w:t>81号。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盛乐校区：呼和浩特市和林格尔盛乐经济园区。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办学层次：博士、硕士、本科。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办学性质：国家公办普通高等学校，自治区重点大学。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毕业证书种类：普通高校全日制毕业证书。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学校根据教育部相关要求成立了本科招生</w:t>
      </w:r>
      <w:r>
        <w:rPr>
          <w:rFonts w:ascii="Microsoft YaHei" w:eastAsia="Microsoft YaHei" w:hAnsi="Microsoft YaHei" w:cs="Microsoft YaHei"/>
          <w:color w:val="333333"/>
        </w:rPr>
        <w:t>工作</w:t>
      </w:r>
      <w:r>
        <w:rPr>
          <w:rFonts w:ascii="Microsoft YaHei" w:eastAsia="Microsoft YaHei" w:hAnsi="Microsoft YaHei" w:cs="Microsoft YaHei"/>
          <w:color w:val="333333"/>
        </w:rPr>
        <w:t>委员会（以下简称</w:t>
      </w:r>
      <w:r>
        <w:rPr>
          <w:rFonts w:ascii="Microsoft YaHei" w:eastAsia="Microsoft YaHei" w:hAnsi="Microsoft YaHei" w:cs="Microsoft YaHei"/>
          <w:color w:val="333333"/>
        </w:rPr>
        <w:t>“招委会”），重大问题由招委会集体讨论决定。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就业处招生办公室负责学校普通高考本科生招生录取的日常管理工作。招生办公室和各学院参与招生录取工作的人员，要认真贯彻执行教育部和各省（市、自治区）有关招生工作文件精神，对参与的招生工作人员进行严格的选拔和培训，确保学校招生工作有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成立由学校纪委书记、监察专员任组长，纪委、监察专员办公室有关人员组成的学校招生工作监督小组，负责监督检查招生工作全过程。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招生计划及录取批次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根据学校教育教学资源、社会需求及生源情况制定分省、分专业招生计划，报送各省（市、自治区）招生管理部门，审批后按规定向社会公布。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1．艺术类：区内本科提前录取，区外按各省（市、自治区）具体要求安排。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2．体育类：区内本科提前录取，区外按各省（市、自治区）具体要求安排。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3．文科、理科、蒙授文科、蒙授理科：区内本科一批、本科二批，区外按各省（市、自治区）具体要求安排。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招生条件和加分政策按照《教育部关于做好</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年普通高等学校招生工作的通知》教学〔</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w:t>
      </w:r>
      <w:r>
        <w:rPr>
          <w:rFonts w:ascii="Microsoft YaHei" w:eastAsia="Microsoft YaHei" w:hAnsi="Microsoft YaHei" w:cs="Microsoft YaHei"/>
          <w:color w:val="333333"/>
        </w:rPr>
        <w:t>1号和各省有关招生工作的文件精神执行，文化课成绩是指高考成绩加上政策加分之后的投档成绩。天津市、浙江省、山东省、海南省、河北省、辽宁省、湖北省、湖南省、重庆市、江苏省、福建省、广东省按202</w:t>
      </w:r>
      <w:r>
        <w:rPr>
          <w:rFonts w:ascii="Microsoft YaHei" w:eastAsia="Microsoft YaHei" w:hAnsi="Microsoft YaHei" w:cs="Microsoft YaHei"/>
          <w:color w:val="333333"/>
        </w:rPr>
        <w:t>3年普通高校招生录取办法执行，考生所填报的专业志愿须满足该专业选考科目要求。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体检按照教育部、卫生部、中国残疾人联合会印发的普通高等学校招生体检工作指导意见及有关规定执行。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有特殊要求的专业：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1．英语专业及方向要求考生外语语种为英语。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2．外国语学院英语专业要求考生英语口语达到合格标准，英语听力成绩12分及以上，英语成绩110分及以上。蒙授文科英语专业要求考生英语成绩85分及以上。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3．数学科学学院数学与应用数学专业要求考生数学成绩80分及以上。蒙授理科数学与应用数学专业要求考生数学成绩60分及以上。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4．经济管理学院经济学（实验班）专业要求考生数学成绩80分及以上。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5．体育学院体育教育、社会体育指导与管理专业要求考生体育</w:t>
      </w:r>
      <w:r>
        <w:rPr>
          <w:rFonts w:ascii="Microsoft YaHei" w:eastAsia="Microsoft YaHei" w:hAnsi="Microsoft YaHei" w:cs="Microsoft YaHei"/>
          <w:color w:val="333333"/>
        </w:rPr>
        <w:t>成绩</w:t>
      </w:r>
      <w:r>
        <w:rPr>
          <w:rFonts w:ascii="Microsoft YaHei" w:eastAsia="Microsoft YaHei" w:hAnsi="Microsoft YaHei" w:cs="Microsoft YaHei"/>
          <w:color w:val="333333"/>
        </w:rPr>
        <w:t>85分及以上。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美术学类专业、设计学类专业、动画专业要求统考成绩达到生源地美术类统考总分的75%（含75%）以上。蒙授美术学类专业、蒙授设计学类专业、蒙授动画专业要求统考成绩达到生源地美术类统考总分的65%（含65%）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7．国际交流学院旅游管理专业要求考生外语成绩70分及以上，外语只开设英语，其他语种慎报。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8．旅游学院航空服务艺术与管理专业要求：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1）五官端正、身材匀称、无明显的“O”型和“X”型腿，无骨关节疾病或畸形；身体裸露部位无明显疤痕，全身无纹身、无烟疤、无自残性疤痕。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w:t>
      </w:r>
      <w:r>
        <w:rPr>
          <w:rFonts w:ascii="Microsoft YaHei" w:eastAsia="Microsoft YaHei" w:hAnsi="Microsoft YaHei" w:cs="Microsoft YaHei"/>
          <w:color w:val="333333"/>
        </w:rPr>
        <w:t>录取时参照高考体检表，</w:t>
      </w:r>
      <w:r>
        <w:rPr>
          <w:rFonts w:ascii="Microsoft YaHei" w:eastAsia="Microsoft YaHei" w:hAnsi="Microsoft YaHei" w:cs="Microsoft YaHei"/>
          <w:color w:val="333333"/>
        </w:rPr>
        <w:t>男生身高</w:t>
      </w:r>
      <w:r>
        <w:rPr>
          <w:rFonts w:ascii="Microsoft YaHei" w:eastAsia="Microsoft YaHei" w:hAnsi="Microsoft YaHei" w:cs="Microsoft YaHei"/>
          <w:color w:val="333333"/>
        </w:rPr>
        <w:t>175cm～185cm，女生身高163cm～175cm。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3）无色盲、色弱、斜视，单侧耳语听力不低于5米。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4）年龄不超过二十周岁，即200</w:t>
      </w:r>
      <w:r>
        <w:rPr>
          <w:rFonts w:ascii="Microsoft YaHei" w:eastAsia="Microsoft YaHei" w:hAnsi="Microsoft YaHei" w:cs="Microsoft YaHei"/>
          <w:color w:val="333333"/>
        </w:rPr>
        <w:t>3</w:t>
      </w:r>
      <w:r>
        <w:rPr>
          <w:rFonts w:ascii="Microsoft YaHei" w:eastAsia="Microsoft YaHei" w:hAnsi="Microsoft YaHei" w:cs="Microsoft YaHei"/>
          <w:color w:val="333333"/>
        </w:rPr>
        <w:t>年</w:t>
      </w:r>
      <w:r>
        <w:rPr>
          <w:rFonts w:ascii="Microsoft YaHei" w:eastAsia="Microsoft YaHei" w:hAnsi="Microsoft YaHei" w:cs="Microsoft YaHei"/>
          <w:color w:val="333333"/>
        </w:rPr>
        <w:t>1月1日以后出生。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5）考生其他身体健康状况，请自行参照《民用航空人员体检合格证管理规则》（CCAR-67FS-R4)以及《空勤人员和空中交通管制员体检鉴定医学标准》（AC-67FS-001）IV类标准相关规定。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9．所有音乐类专业考生的声乐、器乐种类必须符合专业方向或备注中的要求。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录取方式：学校积极配合各省（市、自治区）计算机网上录取工作，全部采用网上远程录取的方式。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我校招生工作遵循</w:t>
      </w:r>
      <w:r>
        <w:rPr>
          <w:rFonts w:ascii="Microsoft YaHei" w:eastAsia="Microsoft YaHei" w:hAnsi="Microsoft YaHei" w:cs="Microsoft YaHei"/>
          <w:color w:val="333333"/>
        </w:rPr>
        <w:t>“公平竞争、公开选拔、公开程序、德智体全面考核、综合评价、择优录取”的原则，执行教育部规定的“学校负责、招办监督”的录取体制。招生计划分配原则：根据学校</w:t>
      </w:r>
      <w:r>
        <w:rPr>
          <w:rFonts w:ascii="Microsoft YaHei" w:eastAsia="Microsoft YaHei" w:hAnsi="Microsoft YaHei" w:cs="Microsoft YaHei"/>
          <w:color w:val="333333"/>
        </w:rPr>
        <w:t>办学的实际情况，结合各省（市、自治区）规定以及历年生源数量、质量，在上一年的基础上进行调整。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提档比例按照有关省（市、自治区）规定执行。录取原则：专业志愿清。对于已投档考生，当考生录取排序成绩相同时，首先执行国家规定的相关优先录取政策；其次对文科和蒙授文科考生，依次按语文（蒙古语文甲或朝鲜语文，下同）、文科综合、外语、文科数学单科成绩择优录取；对理科和蒙授理科考生，依次按理科数学、理科综合、语文、外语单科成绩择优录取。对于艺术、体育类专业，当考生录取排序成绩相同时，依次按专业考试、语文、外语、文科数学（理科数学）、文科综合（理科综合）单科成绩择优录取。对于新高考改革省份考生依次按照语文、外语、数学、选考科目总分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根据各省（市、自治区）有关规定录取，坚持德、智、体全面考核，按照公正、公平、择优录取的原则，并符合教育部及各省的相关规定。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1.美术类、音乐类、编导类专业使用2023年生源地相应科类专业统考成绩，高考文化课成绩及专业统考成绩均须达到省级本科最低录取控制分数线。具体如下：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美术学类专业、设计学类专业、动画专业统考成绩达到生源地美术类统考总分的75%（含75%）以上，蒙授美术学类专业、蒙授设计学类专业、蒙授动画专业统考成绩达到生源地美术类统考总分的65%（含65%）以上。排序成绩为文化课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2）广播电视编导专业排序成绩为文化课成绩。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3）音乐学专业排序成绩为综合成绩，综合成绩=文化课成绩×40%+统考成绩</w:t>
      </w:r>
      <w:r>
        <w:rPr>
          <w:rFonts w:ascii="Microsoft YaHei" w:eastAsia="Microsoft YaHei" w:hAnsi="Microsoft YaHei" w:cs="Microsoft YaHei"/>
          <w:b/>
          <w:bCs/>
          <w:color w:val="333333"/>
        </w:rPr>
        <w:t>×</w:t>
      </w:r>
      <w:r>
        <w:rPr>
          <w:rFonts w:ascii="Microsoft YaHei" w:eastAsia="Microsoft YaHei" w:hAnsi="Microsoft YaHei" w:cs="Microsoft YaHei"/>
          <w:color w:val="333333"/>
        </w:rPr>
        <w:t>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4）音乐表演专业排序成绩为统考成绩。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2．书法学、</w:t>
      </w:r>
      <w:r>
        <w:rPr>
          <w:rFonts w:ascii="Microsoft YaHei" w:eastAsia="Microsoft YaHei" w:hAnsi="Microsoft YaHei" w:cs="Microsoft YaHei"/>
          <w:color w:val="333333"/>
        </w:rPr>
        <w:t>作曲与作曲技术理论专业、舞蹈学专业使用</w:t>
      </w:r>
      <w:r>
        <w:rPr>
          <w:rFonts w:ascii="Microsoft YaHei" w:eastAsia="Microsoft YaHei" w:hAnsi="Microsoft YaHei" w:cs="Microsoft YaHei"/>
          <w:color w:val="333333"/>
        </w:rPr>
        <w:t>202</w:t>
      </w:r>
      <w:r>
        <w:rPr>
          <w:rFonts w:ascii="Microsoft YaHei" w:eastAsia="Microsoft YaHei" w:hAnsi="Microsoft YaHei" w:cs="Microsoft YaHei"/>
          <w:color w:val="333333"/>
        </w:rPr>
        <w:t>3年内蒙古艺术学院书法学、作曲与作曲技术理论、舞蹈学专业联考成绩，高考文化课成绩及专业联考成绩均达到自治区本科最低录取控制分数线。排序成绩为联考成绩。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3．航空服务艺术与管理专业使用校考成绩。高考文化课成绩达到自治区其他艺术类本科最低控制线，专业校考成绩合格。排序成绩为综合成绩，综合成绩=文化课成绩</w:t>
      </w:r>
      <w:r>
        <w:rPr>
          <w:rFonts w:ascii="Microsoft YaHei" w:eastAsia="Microsoft YaHei" w:hAnsi="Microsoft YaHei" w:cs="Microsoft YaHei"/>
          <w:b/>
          <w:bCs/>
          <w:color w:val="333333"/>
        </w:rPr>
        <w:t>×</w:t>
      </w:r>
      <w:r>
        <w:rPr>
          <w:rFonts w:ascii="Microsoft YaHei" w:eastAsia="Microsoft YaHei" w:hAnsi="Microsoft YaHei" w:cs="Microsoft YaHei"/>
          <w:color w:val="333333"/>
        </w:rPr>
        <w:t>40%+校考成绩</w:t>
      </w:r>
      <w:r>
        <w:rPr>
          <w:rFonts w:ascii="Microsoft YaHei" w:eastAsia="Microsoft YaHei" w:hAnsi="Microsoft YaHei" w:cs="Microsoft YaHei"/>
          <w:b/>
          <w:bCs/>
          <w:color w:val="333333"/>
        </w:rPr>
        <w:t>×</w:t>
      </w:r>
      <w:r>
        <w:rPr>
          <w:rFonts w:ascii="Microsoft YaHei" w:eastAsia="Microsoft YaHei" w:hAnsi="Microsoft YaHei" w:cs="Microsoft YaHei"/>
          <w:color w:val="333333"/>
        </w:rPr>
        <w:t>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4．体育教育、社会体育指导与管理专业在内蒙古自治区使用体育类专业统考成绩，高考文化课达到内蒙古自治区体育类本科最低控制线，专业统考成绩达到85分及以上。排序成绩为文化课成绩。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5．公共外语教学只开设英语和日语，其他语种考生，入校后需要在英语或者日语中选择进行公共外语学习。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公费定向师范生、优秀教师定向培养计划录取按照内蒙古自治区教育厅、内蒙古自治区机构编制委员会办公室、内蒙古自治区财政厅、内蒙古自治区人力资源和社会保障厅联合印发的文件要求执行。招生对象为具有内蒙古自治区户籍且符合内蒙古自治区高考报名条件的优秀高中应届毕业生。为保证签约率和报到率，公费定向师范生各专业只录取有专业志愿考生，不接收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7．中外合作办学各专业及方向、校企合作办学各专业及方向、国际本科学术互认课程项目各专业只录取有专业志愿考生，不接收专业调剂。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招生咨询电话：</w:t>
      </w:r>
      <w:r>
        <w:rPr>
          <w:rFonts w:ascii="Microsoft YaHei" w:eastAsia="Microsoft YaHei" w:hAnsi="Microsoft YaHei" w:cs="Microsoft YaHei"/>
          <w:color w:val="333333"/>
        </w:rPr>
        <w:t>0471-4392514，欢迎考生及家长咨询。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w:t>
      </w:r>
      <w:r>
        <w:rPr>
          <w:rFonts w:ascii="Microsoft YaHei" w:eastAsia="Microsoft YaHei" w:hAnsi="Microsoft YaHei" w:cs="Microsoft YaHei"/>
          <w:color w:val="333333"/>
        </w:rPr>
        <w:t>    址：</w:t>
      </w:r>
      <w:hyperlink r:id="rId4" w:history="1">
        <w:r>
          <w:rPr>
            <w:rFonts w:ascii="Microsoft YaHei" w:eastAsia="Microsoft YaHei" w:hAnsi="Microsoft YaHei" w:cs="Microsoft YaHei"/>
            <w:color w:val="333333"/>
            <w:u w:val="single" w:color="333333"/>
          </w:rPr>
          <w:t>http://www.imnu.edu.cn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电子邮件：</w:t>
      </w:r>
      <w:hyperlink r:id="rId5" w:history="1">
        <w:r>
          <w:rPr>
            <w:rFonts w:ascii="Microsoft YaHei" w:eastAsia="Microsoft YaHei" w:hAnsi="Microsoft YaHei" w:cs="Microsoft YaHei"/>
            <w:color w:val="333333"/>
            <w:u w:val="single" w:color="333333"/>
          </w:rPr>
          <w:t>zhaoban@imnu.edu.cn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学生入学须缴纳学费、住宿费，收费标准以内蒙古自治区价格主管部门公布的标准执行。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学校严格执行财政部科教司、教育部财务司和全国学生资助管理中心制定的高校本专科学生资助政策。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严格遵守学校招生录取原则，杜绝录取过程中的舞弊行为，对违反录取原则和招生纪律的行为，一经查实，严肃处理。新生入学后按规定进行严格复查。经复查，凡有谎报个人信息、不符合报名条件将按《国家教育考试违规处理办法》、《中华人民共和国刑法修正案（九）》有关规定取消入学资格，并报自治区教育招生考试中心处理，涉嫌违法的交由公安机关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增强招生工作透明度，实行六公开三监督制度，认真接受社会监督。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本章程适用于学校普通本科招生工作，若有与国家政策不一致之处，以国家和上级有关政策为准。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本章程由内蒙古师范大学负责解释。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7.html" TargetMode="External" /><Relationship Id="rId11" Type="http://schemas.openxmlformats.org/officeDocument/2006/relationships/hyperlink" Target="http://www.gk114.com/a/gxzs/zszc/nmg/2023/0611/28256.html" TargetMode="External" /><Relationship Id="rId12" Type="http://schemas.openxmlformats.org/officeDocument/2006/relationships/hyperlink" Target="http://www.gk114.com/a/gxzs/zszc/nmg/2023/0611/28255.html" TargetMode="External" /><Relationship Id="rId13" Type="http://schemas.openxmlformats.org/officeDocument/2006/relationships/hyperlink" Target="http://www.gk114.com/a/gxzs/zszc/nmg/2023/0611/28253.html" TargetMode="External" /><Relationship Id="rId14" Type="http://schemas.openxmlformats.org/officeDocument/2006/relationships/hyperlink" Target="http://www.gk114.com/a/gxzs/zszc/nmg/2023/0611/28252.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30/20157.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imnu.edu.cn/" TargetMode="External" /><Relationship Id="rId5" Type="http://schemas.openxmlformats.org/officeDocument/2006/relationships/hyperlink" Target="mailto:zhaoban@imnu.edu.cn" TargetMode="External" /><Relationship Id="rId6" Type="http://schemas.openxmlformats.org/officeDocument/2006/relationships/hyperlink" Target="http://www.gk114.com/a/gxzs/zszc/nmg/2023/0611/28259.html" TargetMode="External" /><Relationship Id="rId7" Type="http://schemas.openxmlformats.org/officeDocument/2006/relationships/hyperlink" Target="http://www.gk114.com/a/gxzs/zszc/nmg/2023/0611/28261.html" TargetMode="External" /><Relationship Id="rId8" Type="http://schemas.openxmlformats.org/officeDocument/2006/relationships/hyperlink" Target="http://www.gk114.com/a/gxzs/zszc/nmg/" TargetMode="External" /><Relationship Id="rId9" Type="http://schemas.openxmlformats.org/officeDocument/2006/relationships/hyperlink" Target="http://www.gk114.com/a/gxzs/zszc/nmg/2023/0611/282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