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为更好地实施高考招生工作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，依据《中华人民共和国教育法》、《中华人民共和国高等教育法》和教育部有关规定，结合学校的实际情况，特制定内蒙古科技大学</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w:t>
      </w:r>
      <w:r>
        <w:rPr>
          <w:rFonts w:ascii="SimSun" w:eastAsia="SimSun" w:hAnsi="SimSun" w:cs="SimSun"/>
        </w:rPr>
        <w:t>址：内蒙古包头市昆都仑区阿尔丁大街</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在有关省（自治区、直辖市）分专业招生人数及有关说明：学校根据国家和社会的人才需求及我校的实际情况，统筹协调考虑各种因素，制定招生计划并向社会公布。</w:t>
      </w:r>
      <w:r>
        <w:rPr>
          <w:rFonts w:ascii="Times New Roman" w:eastAsia="Times New Roman" w:hAnsi="Times New Roman" w:cs="Times New Roman"/>
        </w:rPr>
        <w:t>2020</w:t>
      </w:r>
      <w:r>
        <w:rPr>
          <w:rFonts w:ascii="SimSun" w:eastAsia="SimSun" w:hAnsi="SimSun" w:cs="SimSun"/>
        </w:rPr>
        <w:t>年我校在各省（自治区、直辖市）招生的专业、人数及有关要求，详见各省级普通高校招生主管部门编印的《</w:t>
      </w:r>
      <w:r>
        <w:rPr>
          <w:rFonts w:ascii="Times New Roman" w:eastAsia="Times New Roman" w:hAnsi="Times New Roman" w:cs="Times New Roman"/>
        </w:rPr>
        <w:t>2020</w:t>
      </w:r>
      <w:r>
        <w:rPr>
          <w:rFonts w:ascii="SimSun" w:eastAsia="SimSun" w:hAnsi="SimSun" w:cs="SimSun"/>
        </w:rPr>
        <w:t>年普通高等学校招生专业和计划》及我校本专科招生信息网。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语种要求：除英语专业、商务英语专业只招收英语语种考生外，其它专业外语语种不限。我校公共外语课只开设英语、日语、俄语三种语言教学，请考生慎重选择。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外语口试要求：无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原则上按教育部《普通高等学校招生体检工作指导意见》中对各专业的要求执行。新生入学后学校按规定对其进行身体健康状况复查，如发现不符合《普通高等学校招生体检工作指导意见》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、我校招生录取工作遵循</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、我校面向全国招收高水平运动员，依据教育部和各省（自治区、直辖市）普通高校招生主管部门及内蒙古科技大学高水平运动员招生有关规定执行。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、学校全部专业均无单科成绩要求。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、对加分或降分投档考生的处理：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学校原则上执行各省（自治区、直辖市）教育行政部门、招生考试机构有关加分或降分投档的政策规定。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、进档考生的专业安排方法：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我校只承认生源对应省份</w:t>
      </w:r>
      <w:r>
        <w:rPr>
          <w:rFonts w:ascii="Times New Roman" w:eastAsia="Times New Roman" w:hAnsi="Times New Roman" w:cs="Times New Roman"/>
        </w:rPr>
        <w:t>2020</w:t>
      </w:r>
      <w:r>
        <w:rPr>
          <w:rFonts w:ascii="SimSun" w:eastAsia="SimSun" w:hAnsi="SimSun" w:cs="SimSun"/>
        </w:rPr>
        <w:t>年美术类本科专业统考合格成绩，考生文化、专业成绩均须达到我校美术类本科专业对应省份、批次录取最低控制线（以下简称文化、专业双上线）。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的原则，按加权成绩（文化课投档成绩乘以</w:t>
      </w:r>
      <w:r>
        <w:rPr>
          <w:rFonts w:ascii="Times New Roman" w:eastAsia="Times New Roman" w:hAnsi="Times New Roman" w:cs="Times New Roman"/>
        </w:rPr>
        <w:t>60</w:t>
      </w:r>
      <w:r>
        <w:rPr>
          <w:rFonts w:ascii="SimSun" w:eastAsia="SimSun" w:hAnsi="SimSun" w:cs="SimSun"/>
        </w:rPr>
        <w:t>％加美术专业投档成绩乘以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％）由高分到低分择优录取，加权后的成绩小数点后数字全部保留。如出现加权成绩相同的情况，依次按照投档成绩中：文化课投档成绩、美术专业成绩、语文、数学、综合、外语的顺序择优录取。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河北省、山西省、安徽省、四川省：文化、专业双上线者，采取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的原则，不设专业志愿级差，按加权成绩（文化课投档成绩乘以</w:t>
      </w:r>
      <w:r>
        <w:rPr>
          <w:rFonts w:ascii="Times New Roman" w:eastAsia="Times New Roman" w:hAnsi="Times New Roman" w:cs="Times New Roman"/>
        </w:rPr>
        <w:t>60</w:t>
      </w:r>
      <w:r>
        <w:rPr>
          <w:rFonts w:ascii="SimSun" w:eastAsia="SimSun" w:hAnsi="SimSun" w:cs="SimSun"/>
        </w:rPr>
        <w:t>％加美术专业投档成绩乘以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％）由高分到低分择优录取，加权后的成绩小数点后数字全部保留。如出现加权成绩相同的情况，依次按照投档成绩中：文化课投档成绩、美术专业成绩、语文、数学、综合、外语的顺序择优录取。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江苏省：文化、专业双上线者，采取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的排序方式、各专业志愿间分数优先的原则，不设专业志愿级差，按加权成绩（文化课投档成绩乘以</w:t>
      </w:r>
      <w:r>
        <w:rPr>
          <w:rFonts w:ascii="Times New Roman" w:eastAsia="Times New Roman" w:hAnsi="Times New Roman" w:cs="Times New Roman"/>
        </w:rPr>
        <w:t>60</w:t>
      </w:r>
      <w:r>
        <w:rPr>
          <w:rFonts w:ascii="SimSun" w:eastAsia="SimSun" w:hAnsi="SimSun" w:cs="SimSun"/>
        </w:rPr>
        <w:t>％加美术专业投档成绩乘以</w:t>
      </w:r>
      <w:r>
        <w:rPr>
          <w:rFonts w:ascii="Times New Roman" w:eastAsia="Times New Roman" w:hAnsi="Times New Roman" w:cs="Times New Roman"/>
        </w:rPr>
        <w:t>40</w:t>
      </w:r>
      <w:r>
        <w:rPr>
          <w:rFonts w:ascii="SimSun" w:eastAsia="SimSun" w:hAnsi="SimSun" w:cs="SimSun"/>
        </w:rPr>
        <w:t>％）由高分到低分择优录取，加权后的成绩小数点后数字全部保留。如出现加权成绩相同的情况，依次按照投档成绩中：文化课投档成绩、美术专业成绩、语文、数学、外语的顺序择优录取。学业水平测试科目等级的最低要求以江苏省招办统一公布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山东省：学校在山东省美术类专业录取工作，按照山东省</w:t>
      </w:r>
      <w:r>
        <w:rPr>
          <w:rFonts w:ascii="Times New Roman" w:eastAsia="Times New Roman" w:hAnsi="Times New Roman" w:cs="Times New Roman"/>
        </w:rPr>
        <w:t>2020</w:t>
      </w:r>
      <w:r>
        <w:rPr>
          <w:rFonts w:ascii="SimSun" w:eastAsia="SimSun" w:hAnsi="SimSun" w:cs="SimSun"/>
        </w:rPr>
        <w:t>年普通高校招生录取工作相关规定执行；文化、专业双上线考生如满足教育部及山东省高考招生录取相关规定，同时满足我校专业选考科目要求及招生章程中所规定的专业录取要求，对已投档考生，按照投档成绩，录取到投档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我校只承认生源对应省份</w:t>
      </w:r>
      <w:r>
        <w:rPr>
          <w:rFonts w:ascii="Times New Roman" w:eastAsia="Times New Roman" w:hAnsi="Times New Roman" w:cs="Times New Roman"/>
        </w:rPr>
        <w:t>2020</w:t>
      </w:r>
      <w:r>
        <w:rPr>
          <w:rFonts w:ascii="SimSun" w:eastAsia="SimSun" w:hAnsi="SimSun" w:cs="SimSun"/>
        </w:rPr>
        <w:t>年音乐类本科专业统考合格成绩，考生文化、专业成绩均须达到我校音乐类本科专业对应省份、批次录取最低控制线（以下简称文化、专业双上线）。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招收音乐表演（钢琴）、音乐表演（器乐）方向。钢琴方向只招收统考钢琴的考生；器乐方向只招收统考手风琴、萨克斯管、笛子（民乐）、小提琴、二胡、扬琴、琵琶、笙（芦笙、排笙）、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w:t>
      </w:r>
      <w:r>
        <w:rPr>
          <w:rFonts w:ascii="SimSun" w:eastAsia="SimSun" w:hAnsi="SimSun" w:cs="SimSun"/>
        </w:rPr>
        <w:t>按文化课投档成绩由高分到低分择优录取。如出现文化课投档成绩相同的情况，依次按照投档成绩中：音乐专业成绩、语文、数学、综合、外语的顺序择优录取。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河北省、山西省、安徽省：只招收音乐表演（声乐）方向</w:t>
      </w:r>
      <w:r>
        <w:rPr>
          <w:rFonts w:ascii="Times New Roman" w:eastAsia="Times New Roman" w:hAnsi="Times New Roman" w:cs="Times New Roman"/>
        </w:rPr>
        <w:t xml:space="preserve">, </w:t>
      </w:r>
      <w:r>
        <w:rPr>
          <w:rFonts w:ascii="SimSun" w:eastAsia="SimSun" w:hAnsi="SimSun" w:cs="SimSun"/>
        </w:rPr>
        <w:t>唱法不限；河北省、山西省只招声乐统考的考生；安徽省只招统考主项声乐的考生。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文化、专业双上线者，采取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的原则，不设专业志愿级差，按文化课投档成绩由高分到低分择优录取。如出现文化课投档成绩相同的情况，依次按照投档成绩中：音乐专业成绩、语文、数学、综合、外语的顺序择优录取。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我校只承认内蒙古自治区</w:t>
      </w:r>
      <w:r>
        <w:rPr>
          <w:rFonts w:ascii="Times New Roman" w:eastAsia="Times New Roman" w:hAnsi="Times New Roman" w:cs="Times New Roman"/>
        </w:rPr>
        <w:t>2020</w:t>
      </w:r>
      <w:r>
        <w:rPr>
          <w:rFonts w:ascii="SimSun" w:eastAsia="SimSun" w:hAnsi="SimSun" w:cs="SimSun"/>
        </w:rPr>
        <w:t>年体育类本科专业统考合格成绩，考生文化、专业成绩均须达到内蒙古自治区体育类本科专业对应批次录取最低控制线分数（以下简称文化、专业双上线）。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内蒙古自治区：体育教育本科专业</w:t>
      </w:r>
      <w:r>
        <w:rPr>
          <w:rFonts w:ascii="Times New Roman" w:eastAsia="Times New Roman" w:hAnsi="Times New Roman" w:cs="Times New Roman"/>
        </w:rPr>
        <w:t>,</w:t>
      </w:r>
      <w:r>
        <w:rPr>
          <w:rFonts w:ascii="SimSun" w:eastAsia="SimSun" w:hAnsi="SimSun" w:cs="SimSun"/>
        </w:rPr>
        <w:t>只招收体育专项为足球的考生，文化、专业双上线者，采取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的原则，按文化课投档成绩由高分到低分择优录取。如出现文化课投档成绩相同的情况，依次按照投档成绩中：专业成绩、语文、数学、综合、外语的顺序择优录取。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的原则，即投档考生按专业志愿从高分到低分择优录取。如出现投档录取排序成绩相同的情况，依次按照投档成绩中：语文、数学、综合、外语的顺序择优录取。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江苏省：采取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式、各专业志愿间分数优先的原则，不设专业志愿级差，安排专业择优录取。如出现投档录取排序成绩相同情况，依次按照选测科目（理科为物理、文科为历史）等级、另一门选测科目等级、语文、数学、外语的顺序，综合考虑后择优录取；学业水平测试科目等级最低要求选测为</w:t>
      </w:r>
      <w:r>
        <w:rPr>
          <w:rFonts w:ascii="Times New Roman" w:eastAsia="Times New Roman" w:hAnsi="Times New Roman" w:cs="Times New Roman"/>
        </w:rPr>
        <w:t>BB</w:t>
      </w:r>
      <w:r>
        <w:rPr>
          <w:rFonts w:ascii="SimSun" w:eastAsia="SimSun" w:hAnsi="SimSun" w:cs="SimSun"/>
        </w:rPr>
        <w:t>，必测为</w:t>
      </w:r>
      <w:r>
        <w:rPr>
          <w:rFonts w:ascii="Times New Roman" w:eastAsia="Times New Roman" w:hAnsi="Times New Roman" w:cs="Times New Roman"/>
        </w:rPr>
        <w:t>5</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浙江省、山东省：录取工作按照对应省份</w:t>
      </w:r>
      <w:r>
        <w:rPr>
          <w:rFonts w:ascii="Times New Roman" w:eastAsia="Times New Roman" w:hAnsi="Times New Roman" w:cs="Times New Roman"/>
        </w:rPr>
        <w:t>2020</w:t>
      </w:r>
      <w:r>
        <w:rPr>
          <w:rFonts w:ascii="SimSun" w:eastAsia="SimSun" w:hAnsi="SimSun" w:cs="SimSun"/>
        </w:rPr>
        <w:t>年普通高校招生录取工作相关规定执行；考生须满足教育部及对应省份高考招生、录取有关部门相关规定，同时满足相应省份已发布的我校招生专业选考科目要求；对已投档考生，按照投档成绩，录取到投档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北京市、天津市、海南省：录取工作按照对应省份</w:t>
      </w:r>
      <w:r>
        <w:rPr>
          <w:rFonts w:ascii="Times New Roman" w:eastAsia="Times New Roman" w:hAnsi="Times New Roman" w:cs="Times New Roman"/>
        </w:rPr>
        <w:t>2020</w:t>
      </w:r>
      <w:r>
        <w:rPr>
          <w:rFonts w:ascii="SimSun" w:eastAsia="SimSun" w:hAnsi="SimSun" w:cs="SimSun"/>
        </w:rPr>
        <w:t>年普通高校招生录取工作相关规定执行；考生须满足教育部及对应省份高考招生、录取有关部门相关规定，同时满足相应省份已发布的我校招生专业选考科目要求；对已投档考生，在专业组内，按照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的原则，不设专业志愿级差，按投档成绩从高分到低分安排专业择优录取。如出现投档录取排序成绩相同的情况，依次按照投档成绩中：语文、数学、外语的顺序择优录取。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其它省（自治区、直辖市）：按照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的原则，不设专业志愿级差，按投档成绩从高分到低分安排专业择优录取。如出现投档录取排序成绩相同的情况，依次按照投档成绩中：语文、数学、综合、外语的顺序择优录取。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）专业志愿调剂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当进档考生所报专业志愿都无法满足时，服从专业调剂者，将随机安排到未录满的专业；不服从调剂者，作退档处理。凡考生在填报志愿时未明确表示是否服从专业调剂的，视为不服从专业调剂。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投档比例：学校根据各省（自治区、直辖市）相关要求及生源情况综合考虑确定提档比例。按照顺序志愿投档的批次，学校调阅考生档案的比例原则上控制在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学费标准：学校执行内蒙古自治区发展与改革委员会核定的本、专科收费标准。如遇收费标准变化，按新标准执行。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5951605 5953346 5953347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5953348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0472-5951589 5954367 5951531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014010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duhaiyuan@sina .com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http://www.imust.cn</w:t>
      </w:r>
      <w:r>
        <w:rPr>
          <w:rFonts w:ascii="SimSun" w:eastAsia="SimSun" w:hAnsi="SimSun" w:cs="SimSun"/>
        </w:rPr>
        <w:t>（学校主页）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http://zhaosheng.imust.cn</w:t>
      </w:r>
      <w:r>
        <w:rPr>
          <w:rFonts w:ascii="SimSun" w:eastAsia="SimSun" w:hAnsi="SimSun" w:cs="SimSun"/>
        </w:rPr>
        <w:t>（本专科招生信息网）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本招生章程由内蒙古科技大学负责解释。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49.html" TargetMode="External" /><Relationship Id="rId13" Type="http://schemas.openxmlformats.org/officeDocument/2006/relationships/hyperlink" Target="http://www.gk114.com/a/gxzs/zszc/nmg/2021/0328/19147.html" TargetMode="External" /><Relationship Id="rId14" Type="http://schemas.openxmlformats.org/officeDocument/2006/relationships/hyperlink" Target="http://www.gk114.com/a/gxzs/zszc/nmg/2021/0328/19146.html" TargetMode="External" /><Relationship Id="rId15" Type="http://schemas.openxmlformats.org/officeDocument/2006/relationships/hyperlink" Target="http://www.gk114.com/a/gxzs/zszc/nmg/2021/0328/19142.html" TargetMode="External" /><Relationship Id="rId16" Type="http://schemas.openxmlformats.org/officeDocument/2006/relationships/hyperlink" Target="http://www.gk114.com/a/gxzs/zszc/nmg/2021/0328/1913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46.html" TargetMode="External" /><Relationship Id="rId5" Type="http://schemas.openxmlformats.org/officeDocument/2006/relationships/hyperlink" Target="http://www.gk114.com/a/gxzs/zszc/nmg/2020/0623/1694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