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包头钢铁职业技术学院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的要求，保证学校招生工作的顺利进行，制定本章程。本章程适用包头钢铁职业技术学院高职（专科）层次的招生工作。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学院名称为：包头钢铁职业技术学院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13864    </w:t>
      </w:r>
      <w:r>
        <w:rPr>
          <w:rFonts w:ascii="SimSun" w:eastAsia="SimSun" w:hAnsi="SimSun" w:cs="SimSun"/>
        </w:rPr>
        <w:t>区内代码：</w:t>
      </w:r>
      <w:r>
        <w:rPr>
          <w:rFonts w:ascii="Times New Roman" w:eastAsia="Times New Roman" w:hAnsi="Times New Roman" w:cs="Times New Roman"/>
        </w:rPr>
        <w:t xml:space="preserve">D63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院校性质：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学院地址：内蒙古包头市昆区阿尔丁大街</w:t>
      </w:r>
      <w:r>
        <w:rPr>
          <w:rFonts w:ascii="Times New Roman" w:eastAsia="Times New Roman" w:hAnsi="Times New Roman" w:cs="Times New Roman"/>
        </w:rPr>
        <w:t>76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年分省、分专业计划以教育部公布为准。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遵循公平、公正、公开的原则，德智体全面衡量，择优录取的原则，严格按照各省、自治区录取规则录取。对加分或降分投档考生，学校原则上执行各省（自治区、直辖市）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内蒙古自治区：学校按照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的原则进行，即投档考生按专业志愿从高分到低分择优录取。如出现录取排序成绩相同的情况，依次按照语文、数学、综合、外语的顺序择优录取。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其它省：学校按照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的原则，不设专业志愿级差，从高分到低分安排专业择优录取。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不限定男女比例，不限制外语语种，因受现有的师资条件限制，新生入学后外语只开设英语教学，非英语语种考生谨慎填报。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体检要求按《普通高等学校招生体检工作指导意见》执行。其中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、酒店管理专业：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身高要求：男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以上；女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、空中乘务专业：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高中学历：年龄</w:t>
      </w:r>
      <w:r>
        <w:rPr>
          <w:rFonts w:ascii="Times New Roman" w:eastAsia="Times New Roman" w:hAnsi="Times New Roman" w:cs="Times New Roman"/>
        </w:rPr>
        <w:t>17-20</w:t>
      </w:r>
      <w:r>
        <w:rPr>
          <w:rFonts w:ascii="SimSun" w:eastAsia="SimSun" w:hAnsi="SimSun" w:cs="SimSun"/>
        </w:rPr>
        <w:t>周岁；身高：女生</w:t>
      </w:r>
      <w:r>
        <w:rPr>
          <w:rFonts w:ascii="Times New Roman" w:eastAsia="Times New Roman" w:hAnsi="Times New Roman" w:cs="Times New Roman"/>
        </w:rPr>
        <w:t>162-173cm</w:t>
      </w:r>
      <w:r>
        <w:rPr>
          <w:rFonts w:ascii="SimSun" w:eastAsia="SimSun" w:hAnsi="SimSun" w:cs="SimSun"/>
        </w:rPr>
        <w:t>，男生</w:t>
      </w:r>
      <w:r>
        <w:rPr>
          <w:rFonts w:ascii="Times New Roman" w:eastAsia="Times New Roman" w:hAnsi="Times New Roman" w:cs="Times New Roman"/>
        </w:rPr>
        <w:t>172-183cm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视力：双眼矫正视力不低于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字表）。不招收色盲色弱者。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五官端正，肤色好；无明显疤痕；牙齿排列整齐；无明显体味。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口齿清楚；听力正常；性格开朗、心理素质好，富有合作精神。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形体匀称，无</w:t>
      </w:r>
      <w:r>
        <w:rPr>
          <w:rFonts w:ascii="Times New Roman" w:eastAsia="Times New Roman" w:hAnsi="Times New Roman" w:cs="Times New Roman"/>
        </w:rPr>
        <w:t xml:space="preserve"> 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“O”</w:t>
      </w:r>
      <w:r>
        <w:rPr>
          <w:rFonts w:ascii="SimSun" w:eastAsia="SimSun" w:hAnsi="SimSun" w:cs="SimSun"/>
        </w:rPr>
        <w:t>形腿。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无精神病史，无各类慢性传染疾病。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热爱祖国，遵纪守法，举止端庄，兴趣高雅，有志于从事民事业，具有较强的服务意识和良好的道德品质。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经身体初检和专业测试合格的考生，须按照中国民用航空总局颁布的</w:t>
      </w:r>
      <w:r>
        <w:rPr>
          <w:rFonts w:ascii="Times New Roman" w:eastAsia="Times New Roman" w:hAnsi="Times New Roman" w:cs="Times New Roman"/>
        </w:rPr>
        <w:t>CCAR67FS</w:t>
      </w:r>
      <w:r>
        <w:rPr>
          <w:rFonts w:ascii="SimSun" w:eastAsia="SimSun" w:hAnsi="SimSun" w:cs="SimSun"/>
        </w:rPr>
        <w:t>乘务员体格检查标准进行专业体检（体检费用自理）。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以上专业，条件不符合要求的考生，请谨慎填报。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费：工科类专业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年，文科类专业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学历证书学校名称：包头钢铁职业技术学院。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包头钢铁职业技术学院在各省、市、自治区的分专业招生计划、专业介绍、奖助学金、特困生帮扶等政策，详见当年内蒙古招生考试信息网、内蒙古招生专刊、学院招生简章、网站等。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 www.btsvc.edu.cn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0472—2897332/2897331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包头钢铁职业技术学院招生工作的要求、规定如与本章程相冲突，以本章程为准。本章程若与国家法规、规章、规范和上级有关政策相抵触，以国家法规、规章、规范和上级有关政策为准。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本章程由包头钢铁职业技术学院负责解释。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科尔沁艺术职业学院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乌海职业技术学院招生章程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41.html" TargetMode="External" /><Relationship Id="rId5" Type="http://schemas.openxmlformats.org/officeDocument/2006/relationships/hyperlink" Target="http://www.gk114.com/a/gxzs/zszc/nmg/2019/0514/8943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