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为保障北京中医药大学招生工作的顺利进行，切实维护学校和考生的合法权益，依据《中华人民共和国教育法》《中华人民共和国高等教育法》和教育部有关规定，结合学校自身情况，特制定本章程。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北京中医药大学是一所以中医药学为主干学科的全国重点大学，是国家</w:t>
      </w:r>
      <w:r>
        <w:rPr>
          <w:rFonts w:ascii="Times New Roman" w:eastAsia="Times New Roman" w:hAnsi="Times New Roman" w:cs="Times New Roman"/>
        </w:rPr>
        <w:t>“</w:t>
      </w:r>
      <w:r>
        <w:rPr>
          <w:rFonts w:ascii="SimSun" w:eastAsia="SimSun" w:hAnsi="SimSun" w:cs="SimSun"/>
        </w:rPr>
        <w:t>双一流学科</w:t>
      </w:r>
      <w:r>
        <w:rPr>
          <w:rFonts w:ascii="Times New Roman" w:eastAsia="Times New Roman" w:hAnsi="Times New Roman" w:cs="Times New Roman"/>
        </w:rPr>
        <w:t>”</w:t>
      </w:r>
      <w:r>
        <w:rPr>
          <w:rFonts w:ascii="SimSun" w:eastAsia="SimSun" w:hAnsi="SimSun" w:cs="SimSun"/>
        </w:rPr>
        <w:t>建设高校，直属教育部管理，由教育部、国家卫生健康委员会、国家中医药管理局和北京市共建。学校现有</w:t>
      </w:r>
      <w:r>
        <w:rPr>
          <w:rFonts w:ascii="Times New Roman" w:eastAsia="Times New Roman" w:hAnsi="Times New Roman" w:cs="Times New Roman"/>
        </w:rPr>
        <w:t>3</w:t>
      </w:r>
      <w:r>
        <w:rPr>
          <w:rFonts w:ascii="SimSun" w:eastAsia="SimSun" w:hAnsi="SimSun" w:cs="SimSun"/>
        </w:rPr>
        <w:t>个校区，分别为和平街校区、良乡校区和望京校区。和平街校区位于北京市朝阳区北三环东路</w:t>
      </w:r>
      <w:r>
        <w:rPr>
          <w:rFonts w:ascii="Times New Roman" w:eastAsia="Times New Roman" w:hAnsi="Times New Roman" w:cs="Times New Roman"/>
        </w:rPr>
        <w:t>11</w:t>
      </w:r>
      <w:r>
        <w:rPr>
          <w:rFonts w:ascii="SimSun" w:eastAsia="SimSun" w:hAnsi="SimSun" w:cs="SimSun"/>
        </w:rPr>
        <w:t>号，良乡校区位于北京市房山区良乡大学城，望京校区位于北京市朝阳区望京中环南路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学生学习期满，成绩合格，符合学校毕业与学位授予标准，学校将按规定颁发北京中医药大学学历证书及学位证书。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学校招生工作将全面贯彻教育部有关文件精神，遵循</w:t>
      </w:r>
      <w:r>
        <w:rPr>
          <w:rFonts w:ascii="Times New Roman" w:eastAsia="Times New Roman" w:hAnsi="Times New Roman" w:cs="Times New Roman"/>
        </w:rPr>
        <w:t>“</w:t>
      </w:r>
      <w:r>
        <w:rPr>
          <w:rFonts w:ascii="SimSun" w:eastAsia="SimSun" w:hAnsi="SimSun" w:cs="SimSun"/>
        </w:rPr>
        <w:t>阳光工程、公平竞争、公正选拔、公开程序，德智体美劳全面考核、综合评价、择优录取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学校招生工作组织机构由招生工作领导小组、招生委员会、招生办公室三级机构组成。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学校招生工作领导小组由校长、分管招生工作副校长和招生与就业处等相关部门负责人组成，对学校招生工作进行统筹和决策。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学校招生委员会由校长和其他相关校领导、相关部门负责人、教师代表、学生代表、校友代表组成，负责为学校招生工作领导小组提供决策咨询和建议。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学校本科招生办公室负责执行教育部和学校制定的有关招生政策、规定和实施细则，编制分省分专业招生计划，制定招生章程，组织实施招生咨询、宣传、录取、信息公开等工作。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学校招生工作在学校纪检监察部门监督下进行，并接受广大学生、家长和社会各界的监督。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学校年度招生计划经校招生工作领导小组和校长办公会审定。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我校根据各省（区、市）考生数量和生源质量、经济社会发展需求趋势、毕业生就业质量状况等因素综合考虑确定分省分专业计划。年度招生计划及分省分专业招生计划由各省级招生机构和我校向社会公布。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学校本科招生类别包括统招、国家专项计划、高校专项计划、高水平运动队招生、高水平艺术团招生、少数民族预科招生、内地西藏和新疆高中班招生等，均按教育部有关要求制定办法并执行。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为贯彻</w:t>
      </w:r>
      <w:r>
        <w:rPr>
          <w:rFonts w:ascii="Times New Roman" w:eastAsia="Times New Roman" w:hAnsi="Times New Roman" w:cs="Times New Roman"/>
        </w:rPr>
        <w:t>“</w:t>
      </w:r>
      <w:r>
        <w:rPr>
          <w:rFonts w:ascii="SimSun" w:eastAsia="SimSun" w:hAnsi="SimSun" w:cs="SimSun"/>
        </w:rPr>
        <w:t>人心向学</w:t>
      </w:r>
      <w:r>
        <w:rPr>
          <w:rFonts w:ascii="Times New Roman" w:eastAsia="Times New Roman" w:hAnsi="Times New Roman" w:cs="Times New Roman"/>
        </w:rPr>
        <w:t>”</w:t>
      </w:r>
      <w:r>
        <w:rPr>
          <w:rFonts w:ascii="SimSun" w:eastAsia="SimSun" w:hAnsi="SimSun" w:cs="SimSun"/>
        </w:rPr>
        <w:t>办学理念，学校给予部分优秀本科学生转专业机会，按当年《北京中医药大学本科生转专业实施办法》执行。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的原则，在各省级招生主管部门组织下开展本校招生录取工作。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学校按各省级招生主管部门投档规则调阅学生电子档案，调档比例不超过公布计划的</w:t>
      </w:r>
      <w:r>
        <w:rPr>
          <w:rFonts w:ascii="Times New Roman" w:eastAsia="Times New Roman" w:hAnsi="Times New Roman" w:cs="Times New Roman"/>
        </w:rPr>
        <w:t>120%</w:t>
      </w:r>
      <w:r>
        <w:rPr>
          <w:rFonts w:ascii="SimSun" w:eastAsia="SimSun" w:hAnsi="SimSun" w:cs="SimSun"/>
        </w:rPr>
        <w:t>；实行平行志愿投档的省（区、市）原则上以不超过公布计划的</w:t>
      </w:r>
      <w:r>
        <w:rPr>
          <w:rFonts w:ascii="Times New Roman" w:eastAsia="Times New Roman" w:hAnsi="Times New Roman" w:cs="Times New Roman"/>
        </w:rPr>
        <w:t>105%</w:t>
      </w:r>
      <w:r>
        <w:rPr>
          <w:rFonts w:ascii="SimSun" w:eastAsia="SimSun" w:hAnsi="SimSun" w:cs="SimSun"/>
        </w:rPr>
        <w:t>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学校可接收服从专业调剂的非第一志愿考生。若符合条件的非第一志愿考生生源仍不足，将征集志愿。按照平行志愿投档的批次，未完成的计划将征集志愿。征集志愿仍不足则根据实际情况将剩余计划调剂至其他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对享受各种加分政策（省级主管部门确认的全国性高考加分项目）的学生，按所在省级主管部门的规定加分提档，提档时出现同分情况时按照省级主管部门规定处理。所有高考加分项目及分值不适用于不安排分省分专业招生计划的高校专项计划、高水平运动队招生、高水平艺术团招生等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学校对已投档考生，采用</w:t>
      </w:r>
      <w:r>
        <w:rPr>
          <w:rFonts w:ascii="Times New Roman" w:eastAsia="Times New Roman" w:hAnsi="Times New Roman" w:cs="Times New Roman"/>
        </w:rPr>
        <w:t>“</w:t>
      </w:r>
      <w:r>
        <w:rPr>
          <w:rFonts w:ascii="SimSun" w:eastAsia="SimSun" w:hAnsi="SimSun" w:cs="SimSun"/>
        </w:rPr>
        <w:t>投档分优先，遵从考生志愿</w:t>
      </w:r>
      <w:r>
        <w:rPr>
          <w:rFonts w:ascii="Times New Roman" w:eastAsia="Times New Roman" w:hAnsi="Times New Roman" w:cs="Times New Roman"/>
        </w:rPr>
        <w:t>”</w:t>
      </w:r>
      <w:r>
        <w:rPr>
          <w:rFonts w:ascii="SimSun" w:eastAsia="SimSun" w:hAnsi="SimSun" w:cs="SimSun"/>
        </w:rPr>
        <w:t>的原则安排专业（即</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不设置专业志愿分数级差。专业录取出现分数相同的情况时，除江苏省和高考综合改革省份外，优先录取相关科目分数高者（比较顺序为理工类理科综合、数学、语文、外语，文史类数学、语文、文科综合、外语）。所有专业志愿均无法满足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江苏省考生学业水平测试选测科目理工类须一门为物理、另一门为化学或生物，文史类须一门为历史、另一门为地理或政治，本科一批等级须达到</w:t>
      </w:r>
      <w:r>
        <w:rPr>
          <w:rFonts w:ascii="Times New Roman" w:eastAsia="Times New Roman" w:hAnsi="Times New Roman" w:cs="Times New Roman"/>
        </w:rPr>
        <w:t>AB</w:t>
      </w:r>
      <w:r>
        <w:rPr>
          <w:rFonts w:ascii="SimSun" w:eastAsia="SimSun" w:hAnsi="SimSun" w:cs="SimSun"/>
        </w:rPr>
        <w:t>，本科二批等级须达到</w:t>
      </w:r>
      <w:r>
        <w:rPr>
          <w:rFonts w:ascii="Times New Roman" w:eastAsia="Times New Roman" w:hAnsi="Times New Roman" w:cs="Times New Roman"/>
        </w:rPr>
        <w:t>BB</w:t>
      </w:r>
      <w:r>
        <w:rPr>
          <w:rFonts w:ascii="SimSun" w:eastAsia="SimSun" w:hAnsi="SimSun" w:cs="SimSun"/>
        </w:rPr>
        <w:t>。专业录取出现分数相同的情况时，优先录取相关科目等级或分数高者（比较顺序为理工类物理、化学或生物、数学、语文、外语，文史类历史、地理或政治、数学、语文、外语）。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考综合改革省份录取按对应省份公布的方案和有关办法执行。考生选考科目须符合我校招生专业选考科目范围要求。专业录取出现分数相同的情况时，优先录取选考相关科目及分数高者（比较顺序为物理、化学、生物</w:t>
      </w:r>
      <w:r>
        <w:rPr>
          <w:rFonts w:ascii="Times New Roman" w:eastAsia="Times New Roman" w:hAnsi="Times New Roman" w:cs="Times New Roman"/>
        </w:rPr>
        <w:t>/</w:t>
      </w:r>
      <w:r>
        <w:rPr>
          <w:rFonts w:ascii="SimSun" w:eastAsia="SimSun" w:hAnsi="SimSun" w:cs="SimSun"/>
        </w:rPr>
        <w:t>生命科学、历史、政治、地理）。专业调剂将参考考生综合素质评价信息。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我校高校专项计划、高水平运动队招生、高水平艺术团招生等特殊类型招生，按照我校依据教育部有关文件制订的相关招生办法执行。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根据学校专业培养需要，中医学（五年制专业除外）、中药学、公共管理类、药事管理、大数据管理与应用、英语、护理学等专业部分课程采用英语或中英双语授课，建议非英语考生慎重报考。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我校对往届生和应届生一视同仁。所有招生专业无男女比例限制。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我校体检标准按《普通高等学校招生体检工作指导意见》（教学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根据专业培养和就业特点，从对考生负责、维护考生利益的原则出发，色盲、色弱及其他各类不能准确识别颜色考生不予录取至医药学类专业；不鼓励躯干或肢体残疾考生报考医药学类专业，否则将难以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按照有关部门批准的标准和学生所学专业学制年限收取学费，学生于每学年报到注册时交纳。中医学、中西医临床医学、针灸推拿学、中药学、中药制药、药学、生物工程、康复治疗学、药事管理、英语、护理学（本科一批或本科批未单列计划）专业为</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年，其中</w:t>
      </w:r>
      <w:r>
        <w:rPr>
          <w:rFonts w:ascii="Times New Roman" w:eastAsia="Times New Roman" w:hAnsi="Times New Roman" w:cs="Times New Roman"/>
        </w:rPr>
        <w:t>9</w:t>
      </w:r>
      <w:r>
        <w:rPr>
          <w:rFonts w:ascii="SimSun" w:eastAsia="SimSun" w:hAnsi="SimSun" w:cs="SimSun"/>
        </w:rPr>
        <w:t>年制专业和</w:t>
      </w:r>
      <w:r>
        <w:rPr>
          <w:rFonts w:ascii="Times New Roman" w:eastAsia="Times New Roman" w:hAnsi="Times New Roman" w:cs="Times New Roman"/>
        </w:rPr>
        <w:t>“5+3</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专业本科阶段学费按照本科生标准收取，研究生阶段按照当年研究生标准执行；公共管理类、大数据管理与应用、法学（医药卫生）、护理学（本科二批或本科批单列计划）专业为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年。住宿费为</w:t>
      </w:r>
      <w:r>
        <w:rPr>
          <w:rFonts w:ascii="Times New Roman" w:eastAsia="Times New Roman" w:hAnsi="Times New Roman" w:cs="Times New Roman"/>
        </w:rPr>
        <w:t>900-1200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2020</w:t>
      </w:r>
      <w:r>
        <w:rPr>
          <w:rFonts w:ascii="SimSun" w:eastAsia="SimSun" w:hAnsi="SimSun" w:cs="SimSun"/>
        </w:rPr>
        <w:t>年入学的所有专业学生均在北京中医药大学良乡校区学习。新生按学校发放的录取通知书和《新生入学指南》要求到校报到。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在新生入学后按照国家和学校规定进行入学资格复查。若发现学生个人信息与录取时所提供的高考电子档案不符（包含个人基本信息、既往病史和身体健康状况等），按学校有关管理规定进行处理，经查实属弄虚作假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学校设有奖贷助学金和勤工助学指导中心，帮助和指导困难的学生开展勤工助学，发放困难补助和争取社会资助。家庭经济困难的新生可按国家有关规定申请办理国家助学贷款。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通讯地址：北京市朝阳区北三环东路</w:t>
      </w:r>
      <w:r>
        <w:rPr>
          <w:rFonts w:ascii="Times New Roman" w:eastAsia="Times New Roman" w:hAnsi="Times New Roman" w:cs="Times New Roman"/>
        </w:rPr>
        <w:t>11</w:t>
      </w:r>
      <w:r>
        <w:rPr>
          <w:rFonts w:ascii="SimSun" w:eastAsia="SimSun" w:hAnsi="SimSun" w:cs="SimSun"/>
        </w:rPr>
        <w:t>号本科招生办公室；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100029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64286231</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http://bkzs.bucm.edu.cn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zs@bucm.edu.cn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64287504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本章程通过我校招生信息网、微信公众号和教育部阳光高考平台向社会发布。最终解释权归属北京中医药大学。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本章程自公布之日起施行，我校原招生章程废止。如遇国家法律、法规、规章和上级有关政策变化，以变化后的规定为准。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6.html" TargetMode="External" /><Relationship Id="rId5" Type="http://schemas.openxmlformats.org/officeDocument/2006/relationships/hyperlink" Target="http://www.gk114.com/a/gxzs/zszc/beijing/2021/0309/1886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