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为了保证学校普通本科招生工作的顺利进行，规范招生行为，维护考生合法权益，依照教育部普通高等学校招生工作规定，特制定本章程。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我校全称为北京大学，是国家公办的教育部直属全日制普通高等学校，对在规定的年限内达到所在专业毕业要求者，颁发北京大学普通本科学历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北京大学招生工作遵循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北京大学招生工作接受学校纪检监察部门、新闻媒体、考生及其家长以及社会各界的监督。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北京大学设立招生委员会，负责制定招生章程、招生战略、招生政策，确定招生规模和调整学科招生计划，讨论决定招生重大事宜。招生委员会由主管校领导、学科专家及相关部门负责人组成。主任由主管校领导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北京大学招生办公室是北京大学组织和实施招生工作的常设机构，具体负责普通本科招生的日常工作。授权北京大学医学部招生办公室具体负责医学部招生的有关事务。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北京大学招生办公室根据需要组建赴各省（自治区、直辖市）招生工作组，负责该地区招生宣传和咨询，并协助招生办公室进行招生录取。招生工作组组长由北京大学聘任。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北京大学设立招生工作监督领导小组，监督领导小组办公室设在监察室，对招生工作实施监督。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北京大学根据本校办学条件等实际情况，统筹考虑各省份高考人数、生源质量、区域协调发展等因素，结合近年来本校来源计划编制情况，综合分析，确定本校分省来源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北京大学将招生计划总数的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北京大学执行教育部规定的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的录取体制，在教育部领导下，由各省（自治区、直辖市）招生委员会统一组织录取。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北京大学按照理工类、文史类和医学类分代码（分类）录取。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北京大学根据各省（自治区、直辖市）生源情况确定提档比例，按照顺序志愿投档的批次，调档比例原则上控制在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以内。北京大学在内蒙古自治区按分数优先原则（分数清）进行录取。北京大学在高考综合改革试点省（市）按其高考改革方案相关规定进行投档录取。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在思想政治品德考核和身体健康状况检查合格、统考成绩达到同批录取控制分数线，符合北京大学提档要求的情况下，北京大学依据考生志愿，从高分到低分的顺序录取，单科成绩原则上应达到及格水平。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北京大学在各省（自治区、直辖市）专业录取时按考生的投档分和专业志愿进行录取，各专业志愿之间设定专业志愿级差，专业志愿级差原则上在</w:t>
      </w:r>
      <w:r>
        <w:rPr>
          <w:rFonts w:ascii="Times New Roman" w:eastAsia="Times New Roman" w:hAnsi="Times New Roman" w:cs="Times New Roman"/>
        </w:rPr>
        <w:t>5</w:t>
      </w:r>
      <w:r>
        <w:rPr>
          <w:rFonts w:ascii="SimSun" w:eastAsia="SimSun" w:hAnsi="SimSun" w:cs="SimSun"/>
        </w:rPr>
        <w:t>分以内。若考生投档分数相同时按各省（自治区、直辖市）确定的同分排序规则进行录取。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北京大学在提档时原则上认可各省（自治区、直辖市）教育主管部门根据教育部相关规定给予考生的政策性加分。但同一考生如符合多项加分条件，只取其中最高一项分值，且加分不得超过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分。经北京大学认定且各级公示合格的各类特殊类型招生入选资格考生，以公示的优惠政策为准进行录取。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北京大学在录取提前批次的非通用语种考生时，按投档分提档，按实考分录取专业，专业志愿间不设级差，不调剂，录满为止，实考分未达到所报专业录取分数的考生予以退档。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北京大学在江苏省录取时，对两门选测科目学业水平测试等级最低要求为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；自主招生、综合评价招生（博雅人才培养计划）、高校专项（筑梦计划）、高水平艺术团等入选资格考生两门选测科目等级最低要求为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；高水平运动队考生的学业水平测试等级要求按江苏省有关规定执行。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北京大学在部分省份招收定向生，定向生录取线参照北京大学统招生调档线执行。若出现志愿率不足的情况，可适当降分录取，最多不能超过统招生调档线</w:t>
      </w:r>
      <w:r>
        <w:rPr>
          <w:rFonts w:ascii="Times New Roman" w:eastAsia="Times New Roman" w:hAnsi="Times New Roman" w:cs="Times New Roman"/>
        </w:rPr>
        <w:t>10</w:t>
      </w:r>
      <w:r>
        <w:rPr>
          <w:rFonts w:ascii="SimSun" w:eastAsia="SimSun" w:hAnsi="SimSun" w:cs="SimSun"/>
        </w:rPr>
        <w:t>分，若仍无法满足计划要求，则调剂到其它招收同类别生源地区招收。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北京大学对肢体残障的考生，若其生活能够自理、符合所报专业要求，且高考成绩达到录取标准，则予正常录取。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北京大学对保送生、自主招生、综合评价、非通用语种、高水平运动队、高水平艺术团、</w:t>
      </w:r>
      <w:r>
        <w:rPr>
          <w:rFonts w:ascii="Times New Roman" w:eastAsia="Times New Roman" w:hAnsi="Times New Roman" w:cs="Times New Roman"/>
        </w:rPr>
        <w:t>“</w:t>
      </w:r>
      <w:r>
        <w:rPr>
          <w:rFonts w:ascii="SimSun" w:eastAsia="SimSun" w:hAnsi="SimSun" w:cs="SimSun"/>
        </w:rPr>
        <w:t>双学籍</w:t>
      </w:r>
      <w:r>
        <w:rPr>
          <w:rFonts w:ascii="Times New Roman" w:eastAsia="Times New Roman" w:hAnsi="Times New Roman" w:cs="Times New Roman"/>
        </w:rPr>
        <w:t>”</w:t>
      </w:r>
      <w:r>
        <w:rPr>
          <w:rFonts w:ascii="SimSun" w:eastAsia="SimSun" w:hAnsi="SimSun" w:cs="SimSun"/>
        </w:rPr>
        <w:t>飞行员、定向生、</w:t>
      </w:r>
      <w:r>
        <w:rPr>
          <w:rFonts w:ascii="Times New Roman" w:eastAsia="Times New Roman" w:hAnsi="Times New Roman" w:cs="Times New Roman"/>
        </w:rPr>
        <w:t>“</w:t>
      </w:r>
      <w:r>
        <w:rPr>
          <w:rFonts w:ascii="SimSun" w:eastAsia="SimSun" w:hAnsi="SimSun" w:cs="SimSun"/>
        </w:rPr>
        <w:t>国家专项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、内地西藏班、内地新疆班、少数民族预科、港澳台侨等招生事宜，依据教育部有关规定和本校的招生简章执行。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北京大学本科招生体检标准按照教育部、卫生部、中国残疾人联合会印发的《普通高等学校招生体检工作指导意见》及有关补充规定执行。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北京大学外语类专业只招收英语语种考生。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北京大学校本部学费收费标准：理科试验班类、文科试验班类、电子信息类、生物科学专业为</w:t>
      </w:r>
      <w:r>
        <w:rPr>
          <w:rFonts w:ascii="Times New Roman" w:eastAsia="Times New Roman" w:hAnsi="Times New Roman" w:cs="Times New Roman"/>
        </w:rPr>
        <w:t>5300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750-1200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北京大学医学部根据本章程及医学专业的特点制定医学类专业的招生实施细则。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北京大学招生工作严格落实教育部关于信息公开的相关要求，确保招生政策、招生资格、招生章程、招生计划、考生资格、录取程序、录取结果、咨询及申诉渠道、重大事件违规处理结果、录取新生复查结果等信息按规定公开。自主招生、保送生、高水平运动队、高水平艺术团等特殊类型招生以及综合评价录取的资格考生信息和录取按教育部相关规定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本章程公布后，如遇部分省份高考招生政策调整，则北京大学将根据当地相关政策制定相应的录取政策，并另行公布。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本章程由北京大学招生办公室负责解释。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学校地址：北京市海淀区颐和园路</w:t>
      </w:r>
      <w:r>
        <w:rPr>
          <w:rFonts w:ascii="Times New Roman" w:eastAsia="Times New Roman" w:hAnsi="Times New Roman" w:cs="Times New Roman"/>
        </w:rPr>
        <w:t>5</w:t>
      </w:r>
      <w:r>
        <w:rPr>
          <w:rFonts w:ascii="SimSun" w:eastAsia="SimSun" w:hAnsi="SimSun" w:cs="SimSun"/>
        </w:rPr>
        <w:t>号（邮编</w:t>
      </w:r>
      <w:r>
        <w:rPr>
          <w:rFonts w:ascii="Times New Roman" w:eastAsia="Times New Roman" w:hAnsi="Times New Roman" w:cs="Times New Roman"/>
        </w:rPr>
        <w:t>100871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010-62751407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010-62554332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bdzsb@pku.edu.cn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010-62755622</w:t>
      </w:r>
      <w:r>
        <w:rPr>
          <w:rFonts w:ascii="SimSun" w:eastAsia="SimSun" w:hAnsi="SimSun" w:cs="SimSun"/>
        </w:rPr>
        <w:t>（纪委办公室</w:t>
      </w:r>
      <w:r>
        <w:rPr>
          <w:rFonts w:ascii="Times New Roman" w:eastAsia="Times New Roman" w:hAnsi="Times New Roman" w:cs="Times New Roman"/>
        </w:rPr>
        <w:t>—</w:t>
      </w:r>
      <w:r>
        <w:rPr>
          <w:rFonts w:ascii="SimSun" w:eastAsia="SimSun" w:hAnsi="SimSun" w:cs="SimSun"/>
        </w:rPr>
        <w:t>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招生监督邮箱：</w:t>
      </w:r>
      <w:r>
        <w:rPr>
          <w:rFonts w:ascii="Times New Roman" w:eastAsia="Times New Roman" w:hAnsi="Times New Roman" w:cs="Times New Roman"/>
        </w:rPr>
        <w:t xml:space="preserve">jwbgs@pku.edu.cn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北大招生网：</w:t>
      </w:r>
      <w:r>
        <w:rPr>
          <w:rFonts w:ascii="Times New Roman" w:eastAsia="Times New Roman" w:hAnsi="Times New Roman" w:cs="Times New Roman"/>
        </w:rPr>
        <w:t xml:space="preserve">http://www.gotopku.cn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0.html" TargetMode="External" /><Relationship Id="rId11" Type="http://schemas.openxmlformats.org/officeDocument/2006/relationships/hyperlink" Target="http://www.gk114.com/a/gxzs/zszc/beijing/2022/0526/22538.html" TargetMode="External" /><Relationship Id="rId12" Type="http://schemas.openxmlformats.org/officeDocument/2006/relationships/hyperlink" Target="http://www.gk114.com/a/gxzs/zszc/beijing/2022/0526/22537.html" TargetMode="External" /><Relationship Id="rId13" Type="http://schemas.openxmlformats.org/officeDocument/2006/relationships/hyperlink" Target="http://www.gk114.com/a/gxzs/zszc/beijing/2022/0526/22536.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1.html" TargetMode="External" /><Relationship Id="rId5" Type="http://schemas.openxmlformats.org/officeDocument/2006/relationships/hyperlink" Target="http://www.gk114.com/a/gxzs/zszc/beijing/" TargetMode="External" /><Relationship Id="rId6" Type="http://schemas.openxmlformats.org/officeDocument/2006/relationships/hyperlink" Target="http://www.gk114.com/a/gxzs/zszc/beijing/2022/0604/22654.html" TargetMode="External" /><Relationship Id="rId7" Type="http://schemas.openxmlformats.org/officeDocument/2006/relationships/hyperlink" Target="http://www.gk114.com/a/gxzs/zszc/beijing/2022/0526/22543.html" TargetMode="External" /><Relationship Id="rId8" Type="http://schemas.openxmlformats.org/officeDocument/2006/relationships/hyperlink" Target="http://www.gk114.com/a/gxzs/zszc/beijing/2022/0526/22542.html" TargetMode="External" /><Relationship Id="rId9" Type="http://schemas.openxmlformats.org/officeDocument/2006/relationships/hyperlink" Target="http://www.gk114.com/a/gxzs/zszc/beijing/2022/0526/225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