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保证学校普通本科招生工作的顺利进行，规范招生行为，维护考生合法权益，根据《中华人民共和国教育法》、《中华人民共和国高等教育法》等相关法律及教育部普通高等学校招生工作有关规定，结合北京大学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我校全称为北京大学，是国家公办的教育部直属全日制普通高等学校，对在规定的年限内达到所在专业毕业要求者，颁发北京大学普通本科学历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北京大学招生工作遵循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北京大学招生工作接受学校纪检监察部门、新闻媒体、考生及其家长以及社会各界的监督。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北京大学设立招生工作领导小组，统筹领导学校招生工作；设立本科招生工作委员会，负责制定本科招生章程、招生战略、招生办法，调整学科招生计划等事宜。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北京大学招生办公室是北京大学组织和实施招生工作的常设机构，具体负责普通本科招生的日常工作。授权北京大学医学部招生办公室具体负责医学部招生的有关事务。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北京大学招生办公室根据需要组建赴各省（自治区、直辖市）招生工作组，负责该地区招生宣传和咨询，并协助招生办公室相关工作。招生工作组组长由北京大学聘任。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北京大学设立招生工作监督领导小组，监督领导小组办公室设在监察室，对招生工作实施监督。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北京大学根据本校人才培养目标、办学条件等实际情况，统筹考虑各省份高考人数、生源质量、区域协调发展等因素，结合近年来本校来源计划编制情况，综合分析，确定本校分省来源招生计划。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北京大学将招生计划总数的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北京大学执行教育部规定的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的录取体制，在教育部领导下，由各省（自治区、直辖市）招生委员会统一组织录取。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北京大学在非高考综合改革省份，按照理工类、文史类分类录取。在高考综合改革试点省份，按其高考改革方案相关规定进行录取。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北京大学根据各省（自治区、直辖市）生源情况确定提档比例，按照顺序志愿投档的批次，调档比例原则上控制在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以内。北京大学在内蒙古自治区按分数优先原则（分数清）进行录取。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在思想政治品德考核和身体健康状况检查合格、统考成绩达到同批录取控制分数线，北京大学依据进档的考生统考成绩，从高分到低分的顺序录取。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北京大学在各省（自治区、直辖市）专业录取时按考生的投档分和专业志愿进行录取。若考生投档分数相同时按各省（自治区、直辖市）确定的同分排序规则进行录取。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北京大学在普通类统招提档时，认可各省（自治区、直辖市）教育主管部门根据教育部相关规定给予相关考生的全国性加分项目和分值。但同一考生如符合多项加分条件，只取其中最高一项分值，且加分不得超过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分。经北京大学认定且各级公示合格的各类特殊类型招生入选资格考生，按照国家相关招生政策进行录取。所有高考加分项目及分值不适用于不安排分省分专业招生计划的</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、高水平艺术团、高水平运动队等特殊类型招生项目。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北京大学在录取提前批次的非通用语种考生时，按考生的投档分和专业志愿进行录取，不调剂。对于符合北京大学投档要求，投档分数相同且北京大学公布计划数不足时，按各省（自治区、直辖市）同分排序规则顺次进行录取，未录取考生予以退档。非通用语种考生入学后不能转入非外国语言文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北京大学在江苏省录取时，对两门选测科目学业水平测试等级最低要求为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；强基计划、高校专项（筑梦计划）、高水平艺术团等考生两门选测科目等级最低要求为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；高水平运动队考生的学业水平测试等级要求按江苏省有关规定执行。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北京大学对肢体残障的考生，若其生活能够自理、符合所报专业要求，且高考成绩达到录取标准，予以正常录取。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北京大学对强基计划、保送生、非通用语种、高水平运动队、高水平艺术团、</w:t>
      </w:r>
      <w:r>
        <w:rPr>
          <w:rFonts w:ascii="Times New Roman" w:eastAsia="Times New Roman" w:hAnsi="Times New Roman" w:cs="Times New Roman"/>
        </w:rPr>
        <w:t>“</w:t>
      </w:r>
      <w:r>
        <w:rPr>
          <w:rFonts w:ascii="SimSun" w:eastAsia="SimSun" w:hAnsi="SimSun" w:cs="SimSun"/>
        </w:rPr>
        <w:t>双学籍</w:t>
      </w:r>
      <w:r>
        <w:rPr>
          <w:rFonts w:ascii="Times New Roman" w:eastAsia="Times New Roman" w:hAnsi="Times New Roman" w:cs="Times New Roman"/>
        </w:rPr>
        <w:t>”</w:t>
      </w:r>
      <w:r>
        <w:rPr>
          <w:rFonts w:ascii="SimSun" w:eastAsia="SimSun" w:hAnsi="SimSun" w:cs="SimSun"/>
        </w:rPr>
        <w:t>飞行员、</w:t>
      </w:r>
      <w:r>
        <w:rPr>
          <w:rFonts w:ascii="Times New Roman" w:eastAsia="Times New Roman" w:hAnsi="Times New Roman" w:cs="Times New Roman"/>
        </w:rPr>
        <w:t>“</w:t>
      </w:r>
      <w:r>
        <w:rPr>
          <w:rFonts w:ascii="SimSun" w:eastAsia="SimSun" w:hAnsi="SimSun" w:cs="SimSun"/>
        </w:rPr>
        <w:t>国家专项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、内地西藏班、内地新疆班、少数民族预科等招生事宜，依据教育部有关规定和本校的招生简章执行。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北京大学本科招生体检标准按照教育部、卫生部、中国残疾人联合会印发的《普通高等学校招生体检工作指导意见》及有关补充规定执行。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北京大学普通高考外语类专业只招收英语语种考生。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北京大学校本部学费收费标准：理科试验班类、文科试验班类、电子信息类、生物科学专业为</w:t>
      </w:r>
      <w:r>
        <w:rPr>
          <w:rFonts w:ascii="Times New Roman" w:eastAsia="Times New Roman" w:hAnsi="Times New Roman" w:cs="Times New Roman"/>
        </w:rPr>
        <w:t>5300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750-1200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北京大学医学部根据本章程及医学专业的特点制定医学类专业的招生实施细则。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北京大学招生工作严格落实教育部关于信息公开的相关要求，确保招生章程、招生资格、招生计划、考生资格、录取程序、录取结果、咨询及申诉渠道、重大事件违规处理结果、录取新生复查结果等信息按规定公开。强基计划、保送生、高水平运动队、高水平艺术团等特殊类型招生的资格考生信息和录取按教育部相关规定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本章程公布后，如遇部分省份高考招生政策调整，则北京大学将根据当地相关政策制定相应的录取政策，并另行公布。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本章程由北京大学招生办公室负责解释。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学校地址：北京市海淀区颐和园路</w:t>
      </w:r>
      <w:r>
        <w:rPr>
          <w:rFonts w:ascii="Times New Roman" w:eastAsia="Times New Roman" w:hAnsi="Times New Roman" w:cs="Times New Roman"/>
        </w:rPr>
        <w:t>5</w:t>
      </w:r>
      <w:r>
        <w:rPr>
          <w:rFonts w:ascii="SimSun" w:eastAsia="SimSun" w:hAnsi="SimSun" w:cs="SimSun"/>
        </w:rPr>
        <w:t>号（邮编</w:t>
      </w:r>
      <w:r>
        <w:rPr>
          <w:rFonts w:ascii="Times New Roman" w:eastAsia="Times New Roman" w:hAnsi="Times New Roman" w:cs="Times New Roman"/>
        </w:rPr>
        <w:t>100871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010-62751407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010-62554332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bdzsb@pku.edu.cn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010-62755622</w:t>
      </w:r>
      <w:r>
        <w:rPr>
          <w:rFonts w:ascii="SimSun" w:eastAsia="SimSun" w:hAnsi="SimSun" w:cs="SimSun"/>
        </w:rPr>
        <w:t>（纪委办公室</w:t>
      </w:r>
      <w:r>
        <w:rPr>
          <w:rFonts w:ascii="Times New Roman" w:eastAsia="Times New Roman" w:hAnsi="Times New Roman" w:cs="Times New Roman"/>
        </w:rPr>
        <w:t>—</w:t>
      </w:r>
      <w:r>
        <w:rPr>
          <w:rFonts w:ascii="SimSun" w:eastAsia="SimSun" w:hAnsi="SimSun" w:cs="SimSun"/>
        </w:rPr>
        <w:t>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招生监督邮箱：</w:t>
      </w:r>
      <w:r>
        <w:rPr>
          <w:rFonts w:ascii="Times New Roman" w:eastAsia="Times New Roman" w:hAnsi="Times New Roman" w:cs="Times New Roman"/>
        </w:rPr>
        <w:t xml:space="preserve">jwbgs@pku.edu.cn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北大招生网：</w:t>
      </w:r>
      <w:r>
        <w:rPr>
          <w:rFonts w:ascii="Times New Roman" w:eastAsia="Times New Roman" w:hAnsi="Times New Roman" w:cs="Times New Roman"/>
        </w:rPr>
        <w:t xml:space="preserve">http://www.gotopku.cn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0/0623/16934.html" TargetMode="External" /><Relationship Id="rId5" Type="http://schemas.openxmlformats.org/officeDocument/2006/relationships/hyperlink" Target="http://www.gk114.com/a/gxzs/zszc/beijing/2021/0309/1884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