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北京汇佳职业学院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349" w:lineRule="atLeast"/>
        <w:ind w:left="0" w:right="0" w:firstLine="420"/>
        <w:jc w:val="center"/>
        <w:rPr>
          <w:rFonts w:ascii="Microsoft YaHei" w:eastAsia="Microsoft YaHei" w:hAnsi="Microsoft YaHei" w:cs="Microsoft YaHei"/>
          <w:color w:val="666666"/>
          <w:sz w:val="21"/>
          <w:szCs w:val="21"/>
        </w:rPr>
      </w:pPr>
      <w:r>
        <w:rPr>
          <w:rFonts w:ascii="Microsoft YaHei" w:eastAsia="Microsoft YaHei" w:hAnsi="Microsoft YaHei" w:cs="Microsoft YaHei"/>
          <w:b/>
          <w:bCs/>
          <w:color w:val="333333"/>
          <w:spacing w:val="0"/>
          <w:sz w:val="21"/>
          <w:szCs w:val="21"/>
        </w:rPr>
        <w:t>第一章</w:t>
      </w:r>
      <w:r>
        <w:rPr>
          <w:rFonts w:ascii="Microsoft YaHei" w:eastAsia="Microsoft YaHei" w:hAnsi="Microsoft YaHei" w:cs="Microsoft YaHei"/>
          <w:b/>
          <w:bCs/>
          <w:color w:val="333333"/>
          <w:spacing w:val="0"/>
          <w:sz w:val="21"/>
          <w:szCs w:val="21"/>
        </w:rPr>
        <w:t>总则</w:t>
      </w:r>
    </w:p>
    <w:p>
      <w:pPr>
        <w:pBdr>
          <w:top w:val="none" w:sz="0" w:space="0" w:color="auto"/>
          <w:left w:val="none" w:sz="0" w:space="0" w:color="auto"/>
          <w:bottom w:val="none" w:sz="0" w:space="0" w:color="auto"/>
          <w:right w:val="none" w:sz="0" w:space="0" w:color="auto"/>
        </w:pBdr>
        <w:spacing w:before="150" w:after="0" w:line="495"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000000"/>
          <w:spacing w:val="0"/>
          <w:sz w:val="21"/>
          <w:szCs w:val="21"/>
        </w:rPr>
        <w:t>1、 根据《中华人民共和国教育法》、《中华人民共和国高等教育法》、《中华人民共和国民办教育促进法》等相关法律和教育部门有关规定，</w:t>
      </w:r>
      <w:r>
        <w:rPr>
          <w:rFonts w:ascii="Microsoft YaHei" w:eastAsia="Microsoft YaHei" w:hAnsi="Microsoft YaHei" w:cs="Microsoft YaHei"/>
          <w:color w:val="666666"/>
          <w:sz w:val="21"/>
          <w:szCs w:val="21"/>
        </w:rPr>
        <w:t>为了规范招生工作，保证招生工作依法有序进行</w:t>
      </w:r>
      <w:r>
        <w:rPr>
          <w:rFonts w:ascii="Microsoft YaHei" w:eastAsia="Microsoft YaHei" w:hAnsi="Microsoft YaHei" w:cs="Microsoft YaHei"/>
          <w:color w:val="000000"/>
          <w:sz w:val="21"/>
          <w:szCs w:val="21"/>
        </w:rPr>
        <w:t>，</w:t>
      </w:r>
      <w:r>
        <w:rPr>
          <w:rFonts w:ascii="Microsoft YaHei" w:eastAsia="Microsoft YaHei" w:hAnsi="Microsoft YaHei" w:cs="Microsoft YaHei"/>
          <w:color w:val="000000"/>
          <w:spacing w:val="0"/>
          <w:sz w:val="21"/>
          <w:szCs w:val="21"/>
        </w:rPr>
        <w:t>制定本章程；</w:t>
      </w:r>
    </w:p>
    <w:p>
      <w:pPr>
        <w:pBdr>
          <w:top w:val="none" w:sz="0" w:space="0" w:color="auto"/>
          <w:left w:val="none" w:sz="0" w:space="0" w:color="auto"/>
          <w:bottom w:val="none" w:sz="0" w:space="0" w:color="auto"/>
          <w:right w:val="none" w:sz="0" w:space="0" w:color="auto"/>
        </w:pBdr>
        <w:spacing w:before="0" w:after="0" w:line="495"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000000"/>
          <w:spacing w:val="0"/>
          <w:sz w:val="21"/>
          <w:szCs w:val="21"/>
        </w:rPr>
        <w:t>2、 我院名称为北汇佳职业学院，地址为北京市昌平区中关村科技园区创新路20号，邮政编码为102200；</w:t>
      </w:r>
    </w:p>
    <w:p>
      <w:pPr>
        <w:pBdr>
          <w:top w:val="none" w:sz="0" w:space="0" w:color="auto"/>
          <w:left w:val="none" w:sz="0" w:space="0" w:color="auto"/>
          <w:bottom w:val="none" w:sz="0" w:space="0" w:color="auto"/>
          <w:right w:val="none" w:sz="0" w:space="0" w:color="auto"/>
        </w:pBdr>
        <w:spacing w:before="0" w:after="0" w:line="495"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000000"/>
          <w:spacing w:val="0"/>
          <w:sz w:val="21"/>
          <w:szCs w:val="21"/>
        </w:rPr>
        <w:t>3、 我院是具有国家高等学历教育计划内全国统一招生资格的全日制民办普通高等职业院校，是北京市市级示范性高职院校，上级主管部门是北京市教育委员会；</w:t>
      </w:r>
    </w:p>
    <w:p>
      <w:pPr>
        <w:pBdr>
          <w:top w:val="none" w:sz="0" w:space="0" w:color="auto"/>
          <w:left w:val="none" w:sz="0" w:space="0" w:color="auto"/>
          <w:bottom w:val="none" w:sz="0" w:space="0" w:color="auto"/>
          <w:right w:val="none" w:sz="0" w:space="0" w:color="auto"/>
        </w:pBdr>
        <w:spacing w:before="0" w:after="0" w:line="495"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000000"/>
          <w:spacing w:val="0"/>
          <w:sz w:val="21"/>
          <w:szCs w:val="21"/>
        </w:rPr>
        <w:t>4、我院办学层次为专科（高职）,院校代码:12568；不限外语语种和男女生比例，</w:t>
      </w:r>
      <w:r>
        <w:rPr>
          <w:rFonts w:ascii="Microsoft YaHei" w:eastAsia="Microsoft YaHei" w:hAnsi="Microsoft YaHei" w:cs="Microsoft YaHei"/>
          <w:color w:val="666666"/>
          <w:sz w:val="21"/>
          <w:szCs w:val="21"/>
        </w:rPr>
        <w:t>身体健康状况要求：按国家普通高校高考体检标准执行</w:t>
      </w:r>
      <w:r>
        <w:rPr>
          <w:rFonts w:ascii="Microsoft YaHei" w:eastAsia="Microsoft YaHei" w:hAnsi="Microsoft YaHei" w:cs="Microsoft YaHei"/>
          <w:color w:val="333333"/>
          <w:spacing w:val="0"/>
          <w:sz w:val="21"/>
          <w:szCs w:val="21"/>
        </w:rPr>
        <w:t>。</w:t>
      </w:r>
    </w:p>
    <w:p>
      <w:pPr>
        <w:pBdr>
          <w:top w:val="none" w:sz="0" w:space="0" w:color="auto"/>
          <w:left w:val="none" w:sz="0" w:space="0" w:color="auto"/>
          <w:bottom w:val="none" w:sz="0" w:space="0" w:color="auto"/>
          <w:right w:val="none" w:sz="0" w:space="0" w:color="auto"/>
        </w:pBdr>
        <w:spacing w:before="0" w:after="0" w:line="495" w:lineRule="atLeast"/>
        <w:ind w:left="0" w:right="0" w:firstLine="420"/>
        <w:jc w:val="center"/>
        <w:rPr>
          <w:rFonts w:ascii="Microsoft YaHei" w:eastAsia="Microsoft YaHei" w:hAnsi="Microsoft YaHei" w:cs="Microsoft YaHei"/>
          <w:color w:val="666666"/>
          <w:sz w:val="21"/>
          <w:szCs w:val="21"/>
        </w:rPr>
      </w:pPr>
      <w:r>
        <w:rPr>
          <w:rFonts w:ascii="Microsoft YaHei" w:eastAsia="Microsoft YaHei" w:hAnsi="Microsoft YaHei" w:cs="Microsoft YaHei"/>
          <w:b/>
          <w:bCs/>
          <w:color w:val="333333"/>
          <w:spacing w:val="0"/>
          <w:sz w:val="21"/>
          <w:szCs w:val="21"/>
        </w:rPr>
        <w:t>第二章 学院概况</w:t>
      </w:r>
    </w:p>
    <w:p>
      <w:pPr>
        <w:pBdr>
          <w:top w:val="none" w:sz="0" w:space="0" w:color="auto"/>
          <w:left w:val="none" w:sz="0" w:space="0" w:color="auto"/>
          <w:bottom w:val="none" w:sz="0" w:space="0" w:color="auto"/>
          <w:right w:val="none" w:sz="0" w:space="0" w:color="auto"/>
        </w:pBdr>
        <w:spacing w:before="0" w:after="0" w:line="495"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北京汇佳职业学院是经北京市人民政府批准、教育部备案，由北京市教育委员会主管，具有国家高等学历教育计划内全国统一招生资格的全日制民办普通高等职业院校。</w:t>
      </w:r>
    </w:p>
    <w:p>
      <w:pPr>
        <w:pBdr>
          <w:top w:val="none" w:sz="0" w:space="0" w:color="auto"/>
          <w:left w:val="none" w:sz="0" w:space="0" w:color="auto"/>
          <w:bottom w:val="none" w:sz="0" w:space="0" w:color="auto"/>
          <w:right w:val="none" w:sz="0" w:space="0" w:color="auto"/>
        </w:pBdr>
        <w:spacing w:before="0" w:after="0" w:line="495"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院坐落于北京中关村科技园区昌平园，北依龙凤山，南邻京密引水渠，西接京藏高速，依山傍水，风景秀美，交通便捷，设施一流。学院占地367亩，建筑面积8.42万平方米，现有在校生1800余人。学院拥有先进的多功能阶梯教室、语音室、图书馆、微机室及与各专业相配套的实习实训室、工作室，高标准的田径运动场、足球场、篮球场、高尔夫球训练场、气膜冰球馆、气膜游泳馆、马术训练场、多功能大型健身房、学生公寓、大型餐厅、医务室、超市和小影厅等完善的教育教学和生活服务设施。</w:t>
      </w:r>
    </w:p>
    <w:p>
      <w:pPr>
        <w:pBdr>
          <w:top w:val="none" w:sz="0" w:space="0" w:color="auto"/>
          <w:left w:val="none" w:sz="0" w:space="0" w:color="auto"/>
          <w:bottom w:val="none" w:sz="0" w:space="0" w:color="auto"/>
          <w:right w:val="none" w:sz="0" w:space="0" w:color="auto"/>
        </w:pBdr>
        <w:spacing w:before="0" w:after="0" w:line="495"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院秉承“新型、高品位、国际化”的汇佳教育理念，下设教育系、汇佳中兴电信学院、休闲体育系、文化创意系、经济管理系、英语培训部和通识教育中心；已形成“学前教育、影视动画、休闲体育”三大特色专业群，以及具有校企合作特色的“物联网、轨道交通信息化”工科专业群，各专业突出职业型、国际化的人才培养特色，致力于培养面向新经济、新业态和新技术发展，具有职业能力和工匠精神的高素质专门技术人才。</w:t>
      </w:r>
    </w:p>
    <w:p>
      <w:pPr>
        <w:pBdr>
          <w:top w:val="none" w:sz="0" w:space="0" w:color="auto"/>
          <w:left w:val="none" w:sz="0" w:space="0" w:color="auto"/>
          <w:bottom w:val="none" w:sz="0" w:space="0" w:color="auto"/>
          <w:right w:val="none" w:sz="0" w:space="0" w:color="auto"/>
        </w:pBdr>
        <w:spacing w:before="0" w:after="0" w:line="495"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●教育系的学前教育六个专业方向涵盖了幼儿园主要工作岗位。其中的国际双语教育方向定位于培养具有国际教育理念和良好专业素养、具备国际幼儿园双语教学能力的幼儿双语教师。</w:t>
      </w:r>
    </w:p>
    <w:p>
      <w:pPr>
        <w:pBdr>
          <w:top w:val="none" w:sz="0" w:space="0" w:color="auto"/>
          <w:left w:val="none" w:sz="0" w:space="0" w:color="auto"/>
          <w:bottom w:val="none" w:sz="0" w:space="0" w:color="auto"/>
          <w:right w:val="none" w:sz="0" w:space="0" w:color="auto"/>
        </w:pBdr>
        <w:spacing w:before="0" w:after="0" w:line="495"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汇佳中兴电信学院的物联网应用技术、城市轨道交通通信信号技术专业两大个特色专业是面向未来新一代信息技术产业设立的校企合作专业，入学即接受企业方职业化培养，以企业订单方式解决学生就业，真正的校企深度融合专业。</w:t>
      </w:r>
    </w:p>
    <w:p>
      <w:pPr>
        <w:pBdr>
          <w:top w:val="none" w:sz="0" w:space="0" w:color="auto"/>
          <w:left w:val="none" w:sz="0" w:space="0" w:color="auto"/>
          <w:bottom w:val="none" w:sz="0" w:space="0" w:color="auto"/>
          <w:right w:val="none" w:sz="0" w:space="0" w:color="auto"/>
        </w:pBdr>
        <w:spacing w:before="0" w:after="0" w:line="495"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休闲体育系的高尔夫球青少年教育与管理、健身健美教练、健身健美体适能青少年教育与管理、马术运动青少年教育与管理、冰上运动青少年教育与管理、游泳运动青少年教育与管理、足球运动青少年教育与管理和网球运动青少年教育与管理八个专业方向，聘请名师执教，为中国体育运动产业培养高素质服务与管理人才。</w:t>
      </w:r>
    </w:p>
    <w:p>
      <w:pPr>
        <w:pBdr>
          <w:top w:val="none" w:sz="0" w:space="0" w:color="auto"/>
          <w:left w:val="none" w:sz="0" w:space="0" w:color="auto"/>
          <w:bottom w:val="none" w:sz="0" w:space="0" w:color="auto"/>
          <w:right w:val="none" w:sz="0" w:space="0" w:color="auto"/>
        </w:pBdr>
        <w:spacing w:before="0" w:after="0" w:line="495"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●文化创意系的艺术设计、影视动画、影视多媒体技术专业，3D设计与打印技术、VR虚拟现实技术与应用，定位于培养适应现代制造业高精尖技术应用的专门技术人才。</w:t>
      </w:r>
    </w:p>
    <w:p>
      <w:pPr>
        <w:pBdr>
          <w:top w:val="none" w:sz="0" w:space="0" w:color="auto"/>
          <w:left w:val="none" w:sz="0" w:space="0" w:color="auto"/>
          <w:bottom w:val="none" w:sz="0" w:space="0" w:color="auto"/>
          <w:right w:val="none" w:sz="0" w:space="0" w:color="auto"/>
        </w:pBdr>
        <w:spacing w:before="0" w:after="0" w:line="495"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●经济管理系的老年服务与管理、健康管理是顺应蓬勃发展的新兴服务产业人才需求而量身定制的特色专业。</w:t>
      </w:r>
    </w:p>
    <w:p>
      <w:pPr>
        <w:pBdr>
          <w:top w:val="none" w:sz="0" w:space="0" w:color="auto"/>
          <w:left w:val="none" w:sz="0" w:space="0" w:color="auto"/>
          <w:bottom w:val="none" w:sz="0" w:space="0" w:color="auto"/>
          <w:right w:val="none" w:sz="0" w:space="0" w:color="auto"/>
        </w:pBdr>
        <w:spacing w:before="0" w:after="0" w:line="495" w:lineRule="atLeast"/>
        <w:ind w:left="0" w:right="0" w:firstLine="420"/>
        <w:jc w:val="center"/>
        <w:rPr>
          <w:rFonts w:ascii="Microsoft YaHei" w:eastAsia="Microsoft YaHei" w:hAnsi="Microsoft YaHei" w:cs="Microsoft YaHei"/>
          <w:color w:val="666666"/>
          <w:sz w:val="21"/>
          <w:szCs w:val="21"/>
        </w:rPr>
      </w:pPr>
      <w:r>
        <w:rPr>
          <w:rFonts w:ascii="Microsoft YaHei" w:eastAsia="Microsoft YaHei" w:hAnsi="Microsoft YaHei" w:cs="Microsoft YaHei"/>
          <w:b/>
          <w:bCs/>
          <w:color w:val="333333"/>
          <w:sz w:val="21"/>
          <w:szCs w:val="21"/>
        </w:rPr>
        <w:t>第三章</w:t>
      </w:r>
      <w:r>
        <w:rPr>
          <w:rFonts w:ascii="Microsoft YaHei" w:eastAsia="Microsoft YaHei" w:hAnsi="Microsoft YaHei" w:cs="Microsoft YaHei"/>
          <w:b/>
          <w:bCs/>
          <w:color w:val="333333"/>
          <w:sz w:val="21"/>
          <w:szCs w:val="21"/>
        </w:rPr>
        <w:t>招生专业</w:t>
      </w:r>
      <w:r>
        <w:rPr>
          <w:rFonts w:ascii="Microsoft YaHei" w:eastAsia="Microsoft YaHei" w:hAnsi="Microsoft YaHei" w:cs="Microsoft YaHei"/>
          <w:b/>
          <w:bCs/>
          <w:color w:val="333333"/>
          <w:sz w:val="21"/>
          <w:szCs w:val="21"/>
        </w:rPr>
        <w:t>与报考须知</w:t>
      </w:r>
    </w:p>
    <w:tbl>
      <w:tblPr>
        <w:tblW w:w="14326"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2705"/>
        <w:gridCol w:w="1124"/>
        <w:gridCol w:w="2841"/>
        <w:gridCol w:w="3489"/>
        <w:gridCol w:w="1124"/>
        <w:gridCol w:w="1286"/>
        <w:gridCol w:w="1636"/>
      </w:tblGrid>
      <w:tr>
        <w:tblPrEx>
          <w:tblW w:w="14326"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rHeight w:val="285"/>
        </w:trPr>
        <w:tc>
          <w:tcPr>
            <w:tcW w:w="2375" w:type="dxa"/>
            <w:tcBorders>
              <w:bottom w:val="single" w:sz="6" w:space="0" w:color="CCCCCC"/>
              <w:right w:val="single" w:sz="4" w:space="0" w:color="000000"/>
            </w:tcBorders>
            <w:noWrap w:val="0"/>
            <w:tcMar>
              <w:top w:w="45" w:type="dxa"/>
              <w:left w:w="105"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院系</w:t>
            </w:r>
          </w:p>
        </w:tc>
        <w:tc>
          <w:tcPr>
            <w:tcW w:w="940" w:type="dxa"/>
            <w:tcBorders>
              <w:left w:val="single" w:sz="4" w:space="0" w:color="000000"/>
              <w:bottom w:val="single" w:sz="6" w:space="0" w:color="CCCCCC"/>
              <w:right w:val="single" w:sz="4" w:space="0" w:color="000000"/>
            </w:tcBorders>
            <w:noWrap w:val="0"/>
            <w:tcMar>
              <w:top w:w="45"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代码</w:t>
            </w:r>
          </w:p>
        </w:tc>
        <w:tc>
          <w:tcPr>
            <w:tcW w:w="2530" w:type="dxa"/>
            <w:tcBorders>
              <w:left w:val="single" w:sz="4" w:space="0" w:color="000000"/>
              <w:bottom w:val="single" w:sz="6" w:space="0" w:color="CCCCCC"/>
              <w:right w:val="single" w:sz="4" w:space="0" w:color="000000"/>
            </w:tcBorders>
            <w:noWrap w:val="0"/>
            <w:tcMar>
              <w:top w:w="45"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专业</w:t>
            </w:r>
          </w:p>
        </w:tc>
        <w:tc>
          <w:tcPr>
            <w:tcW w:w="3130" w:type="dxa"/>
            <w:tcBorders>
              <w:left w:val="single" w:sz="4" w:space="0" w:color="000000"/>
              <w:bottom w:val="single" w:sz="6" w:space="0" w:color="CCCCCC"/>
              <w:right w:val="single" w:sz="4" w:space="0" w:color="000000"/>
            </w:tcBorders>
            <w:noWrap w:val="0"/>
            <w:tcMar>
              <w:top w:w="45"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专业方向</w:t>
            </w:r>
          </w:p>
        </w:tc>
        <w:tc>
          <w:tcPr>
            <w:tcW w:w="940" w:type="dxa"/>
            <w:tcBorders>
              <w:left w:val="single" w:sz="4" w:space="0" w:color="000000"/>
              <w:bottom w:val="single" w:sz="6" w:space="0" w:color="CCCCCC"/>
              <w:right w:val="single" w:sz="4" w:space="0" w:color="000000"/>
            </w:tcBorders>
            <w:noWrap w:val="0"/>
            <w:tcMar>
              <w:top w:w="45"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学历层次</w:t>
            </w:r>
          </w:p>
        </w:tc>
        <w:tc>
          <w:tcPr>
            <w:tcW w:w="1090" w:type="dxa"/>
            <w:tcBorders>
              <w:left w:val="single" w:sz="4" w:space="0" w:color="000000"/>
              <w:bottom w:val="single" w:sz="6" w:space="0" w:color="CCCCCC"/>
              <w:right w:val="single" w:sz="4" w:space="0" w:color="000000"/>
            </w:tcBorders>
            <w:noWrap w:val="0"/>
            <w:tcMar>
              <w:top w:w="45"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学制（年）</w:t>
            </w:r>
          </w:p>
        </w:tc>
        <w:tc>
          <w:tcPr>
            <w:tcW w:w="1385" w:type="dxa"/>
            <w:tcBorders>
              <w:left w:val="single" w:sz="4" w:space="0" w:color="000000"/>
              <w:bottom w:val="single" w:sz="6" w:space="0" w:color="CCCCCC"/>
            </w:tcBorders>
            <w:noWrap w:val="0"/>
            <w:tcMar>
              <w:top w:w="45" w:type="dxa"/>
              <w:left w:w="80" w:type="dxa"/>
              <w:bottom w:w="22"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学费（元/年）</w:t>
            </w:r>
          </w:p>
        </w:tc>
      </w:tr>
      <w:tr>
        <w:tblPrEx>
          <w:tblW w:w="14326" w:type="dxa"/>
          <w:tblInd w:w="135" w:type="dxa"/>
          <w:tblCellMar>
            <w:top w:w="15" w:type="dxa"/>
            <w:left w:w="15" w:type="dxa"/>
            <w:bottom w:w="15" w:type="dxa"/>
            <w:right w:w="15" w:type="dxa"/>
          </w:tblCellMar>
        </w:tblPrEx>
        <w:trPr>
          <w:trHeight w:val="285"/>
        </w:trPr>
        <w:tc>
          <w:tcPr>
            <w:tcW w:w="2375" w:type="dxa"/>
            <w:vMerge w:val="restart"/>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教育系</w:t>
            </w:r>
          </w:p>
        </w:tc>
        <w:tc>
          <w:tcPr>
            <w:tcW w:w="940" w:type="dxa"/>
            <w:vMerge w:val="restart"/>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670102</w:t>
            </w:r>
          </w:p>
        </w:tc>
        <w:tc>
          <w:tcPr>
            <w:tcW w:w="2530" w:type="dxa"/>
            <w:vMerge w:val="restart"/>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学前教育</w:t>
            </w:r>
          </w:p>
        </w:tc>
        <w:tc>
          <w:tcPr>
            <w:tcW w:w="313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幼儿艺术教育</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专科</w:t>
            </w:r>
          </w:p>
        </w:tc>
        <w:tc>
          <w:tcPr>
            <w:tcW w:w="109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2</w:t>
            </w:r>
          </w:p>
        </w:tc>
        <w:tc>
          <w:tcPr>
            <w:tcW w:w="138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21600</w:t>
            </w:r>
          </w:p>
        </w:tc>
      </w:tr>
      <w:tr>
        <w:tblPrEx>
          <w:tblW w:w="14326" w:type="dxa"/>
          <w:tblInd w:w="135" w:type="dxa"/>
          <w:tblCellMar>
            <w:top w:w="15" w:type="dxa"/>
            <w:left w:w="15" w:type="dxa"/>
            <w:bottom w:w="15" w:type="dxa"/>
            <w:right w:w="15" w:type="dxa"/>
          </w:tblCellMar>
        </w:tblPrEx>
        <w:trPr>
          <w:trHeight w:val="285"/>
        </w:trPr>
        <w:tc>
          <w:tcPr>
            <w:vMerge/>
            <w:tcBorders>
              <w:top w:val="single" w:sz="6" w:space="0" w:color="CCCCCC"/>
              <w:bottom w:val="single" w:sz="6" w:space="0" w:color="CCCCCC"/>
              <w:right w:val="single" w:sz="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vMerge/>
            <w:tcBorders>
              <w:top w:val="single" w:sz="6" w:space="0" w:color="CCCCCC"/>
              <w:left w:val="single" w:sz="4" w:space="0" w:color="000000"/>
              <w:bottom w:val="single" w:sz="6" w:space="0" w:color="CCCCCC"/>
              <w:right w:val="single" w:sz="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vMerge/>
            <w:tcBorders>
              <w:top w:val="single" w:sz="6" w:space="0" w:color="CCCCCC"/>
              <w:left w:val="single" w:sz="4" w:space="0" w:color="000000"/>
              <w:bottom w:val="single" w:sz="6" w:space="0" w:color="CCCCCC"/>
              <w:right w:val="single" w:sz="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tcW w:w="313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学前教育</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专科</w:t>
            </w:r>
          </w:p>
        </w:tc>
        <w:tc>
          <w:tcPr>
            <w:tcW w:w="109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3</w:t>
            </w:r>
          </w:p>
        </w:tc>
        <w:tc>
          <w:tcPr>
            <w:tcW w:w="138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19200</w:t>
            </w:r>
          </w:p>
        </w:tc>
      </w:tr>
      <w:tr>
        <w:tblPrEx>
          <w:tblW w:w="14326" w:type="dxa"/>
          <w:tblInd w:w="135" w:type="dxa"/>
          <w:tblCellMar>
            <w:top w:w="15" w:type="dxa"/>
            <w:left w:w="15" w:type="dxa"/>
            <w:bottom w:w="15" w:type="dxa"/>
            <w:right w:w="15" w:type="dxa"/>
          </w:tblCellMar>
        </w:tblPrEx>
        <w:trPr>
          <w:trHeight w:val="285"/>
        </w:trPr>
        <w:tc>
          <w:tcPr>
            <w:vMerge/>
            <w:tcBorders>
              <w:top w:val="single" w:sz="6" w:space="0" w:color="CCCCCC"/>
              <w:bottom w:val="single" w:sz="6" w:space="0" w:color="CCCCCC"/>
              <w:right w:val="single" w:sz="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vMerge/>
            <w:tcBorders>
              <w:top w:val="single" w:sz="6" w:space="0" w:color="CCCCCC"/>
              <w:left w:val="single" w:sz="4" w:space="0" w:color="000000"/>
              <w:bottom w:val="single" w:sz="6" w:space="0" w:color="CCCCCC"/>
              <w:right w:val="single" w:sz="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vMerge/>
            <w:tcBorders>
              <w:top w:val="single" w:sz="6" w:space="0" w:color="CCCCCC"/>
              <w:left w:val="single" w:sz="4" w:space="0" w:color="000000"/>
              <w:bottom w:val="single" w:sz="6" w:space="0" w:color="CCCCCC"/>
              <w:right w:val="single" w:sz="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tcW w:w="313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国际双语教育</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专科</w:t>
            </w:r>
          </w:p>
        </w:tc>
        <w:tc>
          <w:tcPr>
            <w:tcW w:w="109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3</w:t>
            </w:r>
          </w:p>
        </w:tc>
        <w:tc>
          <w:tcPr>
            <w:tcW w:w="138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21600</w:t>
            </w:r>
          </w:p>
        </w:tc>
      </w:tr>
      <w:tr>
        <w:tblPrEx>
          <w:tblW w:w="14326" w:type="dxa"/>
          <w:tblInd w:w="135" w:type="dxa"/>
          <w:tblCellMar>
            <w:top w:w="15" w:type="dxa"/>
            <w:left w:w="15" w:type="dxa"/>
            <w:bottom w:w="15" w:type="dxa"/>
            <w:right w:w="15" w:type="dxa"/>
          </w:tblCellMar>
        </w:tblPrEx>
        <w:trPr>
          <w:trHeight w:val="285"/>
        </w:trPr>
        <w:tc>
          <w:tcPr>
            <w:vMerge/>
            <w:tcBorders>
              <w:top w:val="single" w:sz="6" w:space="0" w:color="CCCCCC"/>
              <w:bottom w:val="single" w:sz="6" w:space="0" w:color="CCCCCC"/>
              <w:right w:val="single" w:sz="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vMerge/>
            <w:tcBorders>
              <w:top w:val="single" w:sz="6" w:space="0" w:color="CCCCCC"/>
              <w:left w:val="single" w:sz="4" w:space="0" w:color="000000"/>
              <w:bottom w:val="single" w:sz="6" w:space="0" w:color="CCCCCC"/>
              <w:right w:val="single" w:sz="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vMerge/>
            <w:tcBorders>
              <w:top w:val="single" w:sz="6" w:space="0" w:color="CCCCCC"/>
              <w:left w:val="single" w:sz="4" w:space="0" w:color="000000"/>
              <w:bottom w:val="single" w:sz="6" w:space="0" w:color="CCCCCC"/>
              <w:right w:val="single" w:sz="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tcW w:w="313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亲子教育</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专科</w:t>
            </w:r>
          </w:p>
        </w:tc>
        <w:tc>
          <w:tcPr>
            <w:tcW w:w="109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3</w:t>
            </w:r>
          </w:p>
        </w:tc>
        <w:tc>
          <w:tcPr>
            <w:tcW w:w="138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18700</w:t>
            </w:r>
          </w:p>
        </w:tc>
      </w:tr>
      <w:tr>
        <w:tblPrEx>
          <w:tblW w:w="14326" w:type="dxa"/>
          <w:tblInd w:w="135" w:type="dxa"/>
          <w:tblCellMar>
            <w:top w:w="15" w:type="dxa"/>
            <w:left w:w="15" w:type="dxa"/>
            <w:bottom w:w="15" w:type="dxa"/>
            <w:right w:w="15" w:type="dxa"/>
          </w:tblCellMar>
        </w:tblPrEx>
        <w:trPr>
          <w:trHeight w:val="285"/>
        </w:trPr>
        <w:tc>
          <w:tcPr>
            <w:vMerge/>
            <w:tcBorders>
              <w:top w:val="single" w:sz="6" w:space="0" w:color="CCCCCC"/>
              <w:bottom w:val="single" w:sz="6" w:space="0" w:color="CCCCCC"/>
              <w:right w:val="single" w:sz="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vMerge/>
            <w:tcBorders>
              <w:top w:val="single" w:sz="6" w:space="0" w:color="CCCCCC"/>
              <w:left w:val="single" w:sz="4" w:space="0" w:color="000000"/>
              <w:bottom w:val="single" w:sz="6" w:space="0" w:color="CCCCCC"/>
              <w:right w:val="single" w:sz="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vMerge/>
            <w:tcBorders>
              <w:top w:val="single" w:sz="6" w:space="0" w:color="CCCCCC"/>
              <w:left w:val="single" w:sz="4" w:space="0" w:color="000000"/>
              <w:bottom w:val="single" w:sz="6" w:space="0" w:color="CCCCCC"/>
              <w:right w:val="single" w:sz="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tcW w:w="313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幼儿园行政管理</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专科</w:t>
            </w:r>
          </w:p>
        </w:tc>
        <w:tc>
          <w:tcPr>
            <w:tcW w:w="109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3</w:t>
            </w:r>
          </w:p>
        </w:tc>
        <w:tc>
          <w:tcPr>
            <w:tcW w:w="138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21600</w:t>
            </w:r>
          </w:p>
        </w:tc>
      </w:tr>
      <w:tr>
        <w:tblPrEx>
          <w:tblW w:w="14326" w:type="dxa"/>
          <w:tblInd w:w="135" w:type="dxa"/>
          <w:tblCellMar>
            <w:top w:w="15" w:type="dxa"/>
            <w:left w:w="15" w:type="dxa"/>
            <w:bottom w:w="15" w:type="dxa"/>
            <w:right w:w="15" w:type="dxa"/>
          </w:tblCellMar>
        </w:tblPrEx>
        <w:trPr>
          <w:trHeight w:val="285"/>
        </w:trPr>
        <w:tc>
          <w:tcPr>
            <w:vMerge/>
            <w:tcBorders>
              <w:top w:val="single" w:sz="6" w:space="0" w:color="CCCCCC"/>
              <w:bottom w:val="single" w:sz="6" w:space="0" w:color="CCCCCC"/>
              <w:right w:val="single" w:sz="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vMerge/>
            <w:tcBorders>
              <w:top w:val="single" w:sz="6" w:space="0" w:color="CCCCCC"/>
              <w:left w:val="single" w:sz="4" w:space="0" w:color="000000"/>
              <w:bottom w:val="single" w:sz="6" w:space="0" w:color="CCCCCC"/>
              <w:right w:val="single" w:sz="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vMerge/>
            <w:tcBorders>
              <w:top w:val="single" w:sz="6" w:space="0" w:color="CCCCCC"/>
              <w:left w:val="single" w:sz="4" w:space="0" w:color="000000"/>
              <w:bottom w:val="single" w:sz="6" w:space="0" w:color="CCCCCC"/>
              <w:right w:val="single" w:sz="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tcW w:w="313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幼儿体育教育</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专科</w:t>
            </w:r>
          </w:p>
        </w:tc>
        <w:tc>
          <w:tcPr>
            <w:tcW w:w="109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3</w:t>
            </w:r>
          </w:p>
        </w:tc>
        <w:tc>
          <w:tcPr>
            <w:tcW w:w="138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18700</w:t>
            </w:r>
          </w:p>
        </w:tc>
      </w:tr>
      <w:tr>
        <w:tblPrEx>
          <w:tblW w:w="14326" w:type="dxa"/>
          <w:tblInd w:w="135" w:type="dxa"/>
          <w:tblCellMar>
            <w:top w:w="15" w:type="dxa"/>
            <w:left w:w="15" w:type="dxa"/>
            <w:bottom w:w="15" w:type="dxa"/>
            <w:right w:w="15" w:type="dxa"/>
          </w:tblCellMar>
        </w:tblPrEx>
        <w:trPr>
          <w:trHeight w:val="285"/>
        </w:trPr>
        <w:tc>
          <w:tcPr>
            <w:tcW w:w="2375" w:type="dxa"/>
            <w:vMerge w:val="restart"/>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汇佳中兴电信学院</w:t>
            </w:r>
          </w:p>
        </w:tc>
        <w:tc>
          <w:tcPr>
            <w:tcW w:w="940" w:type="dxa"/>
            <w:vMerge w:val="restart"/>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600603</w:t>
            </w:r>
          </w:p>
        </w:tc>
        <w:tc>
          <w:tcPr>
            <w:tcW w:w="2530" w:type="dxa"/>
            <w:vMerge w:val="restart"/>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城市轨道交通通信信号技术</w:t>
            </w:r>
          </w:p>
        </w:tc>
        <w:tc>
          <w:tcPr>
            <w:tcW w:w="313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轨道交通信息化</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专科</w:t>
            </w:r>
          </w:p>
        </w:tc>
        <w:tc>
          <w:tcPr>
            <w:tcW w:w="109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3</w:t>
            </w:r>
          </w:p>
        </w:tc>
        <w:tc>
          <w:tcPr>
            <w:tcW w:w="138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19000</w:t>
            </w:r>
          </w:p>
        </w:tc>
      </w:tr>
      <w:tr>
        <w:tblPrEx>
          <w:tblW w:w="14326" w:type="dxa"/>
          <w:tblInd w:w="135" w:type="dxa"/>
          <w:tblCellMar>
            <w:top w:w="15" w:type="dxa"/>
            <w:left w:w="15" w:type="dxa"/>
            <w:bottom w:w="15" w:type="dxa"/>
            <w:right w:w="15" w:type="dxa"/>
          </w:tblCellMar>
        </w:tblPrEx>
        <w:trPr>
          <w:trHeight w:val="285"/>
        </w:trPr>
        <w:tc>
          <w:tcPr>
            <w:vMerge/>
            <w:tcBorders>
              <w:top w:val="single" w:sz="6" w:space="0" w:color="CCCCCC"/>
              <w:bottom w:val="single" w:sz="6" w:space="0" w:color="CCCCCC"/>
              <w:right w:val="single" w:sz="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vMerge/>
            <w:tcBorders>
              <w:top w:val="single" w:sz="6" w:space="0" w:color="CCCCCC"/>
              <w:left w:val="single" w:sz="4" w:space="0" w:color="000000"/>
              <w:bottom w:val="single" w:sz="6" w:space="0" w:color="CCCCCC"/>
              <w:right w:val="single" w:sz="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vMerge/>
            <w:tcBorders>
              <w:top w:val="single" w:sz="6" w:space="0" w:color="CCCCCC"/>
              <w:left w:val="single" w:sz="4" w:space="0" w:color="000000"/>
              <w:bottom w:val="single" w:sz="6" w:space="0" w:color="CCCCCC"/>
              <w:right w:val="single" w:sz="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tcW w:w="313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4G移动通讯技术</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专科</w:t>
            </w:r>
          </w:p>
        </w:tc>
        <w:tc>
          <w:tcPr>
            <w:tcW w:w="109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3</w:t>
            </w:r>
          </w:p>
        </w:tc>
        <w:tc>
          <w:tcPr>
            <w:tcW w:w="138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19000</w:t>
            </w:r>
          </w:p>
        </w:tc>
      </w:tr>
      <w:tr>
        <w:tblPrEx>
          <w:tblW w:w="14326" w:type="dxa"/>
          <w:tblInd w:w="135" w:type="dxa"/>
          <w:tblCellMar>
            <w:top w:w="15" w:type="dxa"/>
            <w:left w:w="15" w:type="dxa"/>
            <w:bottom w:w="15" w:type="dxa"/>
            <w:right w:w="15" w:type="dxa"/>
          </w:tblCellMar>
        </w:tblPrEx>
        <w:trPr>
          <w:trHeight w:val="285"/>
        </w:trPr>
        <w:tc>
          <w:tcPr>
            <w:vMerge/>
            <w:tcBorders>
              <w:top w:val="single" w:sz="6" w:space="0" w:color="CCCCCC"/>
              <w:bottom w:val="single" w:sz="6" w:space="0" w:color="CCCCCC"/>
              <w:right w:val="single" w:sz="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tcW w:w="940" w:type="dxa"/>
            <w:vMerge w:val="restart"/>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610119</w:t>
            </w:r>
          </w:p>
        </w:tc>
        <w:tc>
          <w:tcPr>
            <w:tcW w:w="2530" w:type="dxa"/>
            <w:vMerge w:val="restart"/>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物联网应用技术</w:t>
            </w:r>
          </w:p>
        </w:tc>
        <w:tc>
          <w:tcPr>
            <w:tcW w:w="313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智能控制</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专科</w:t>
            </w:r>
          </w:p>
        </w:tc>
        <w:tc>
          <w:tcPr>
            <w:tcW w:w="109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3</w:t>
            </w:r>
          </w:p>
        </w:tc>
        <w:tc>
          <w:tcPr>
            <w:tcW w:w="138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19000</w:t>
            </w:r>
          </w:p>
        </w:tc>
      </w:tr>
      <w:tr>
        <w:tblPrEx>
          <w:tblW w:w="14326" w:type="dxa"/>
          <w:tblInd w:w="135" w:type="dxa"/>
          <w:tblCellMar>
            <w:top w:w="15" w:type="dxa"/>
            <w:left w:w="15" w:type="dxa"/>
            <w:bottom w:w="15" w:type="dxa"/>
            <w:right w:w="15" w:type="dxa"/>
          </w:tblCellMar>
        </w:tblPrEx>
        <w:trPr>
          <w:trHeight w:val="285"/>
        </w:trPr>
        <w:tc>
          <w:tcPr>
            <w:vMerge/>
            <w:tcBorders>
              <w:top w:val="single" w:sz="6" w:space="0" w:color="CCCCCC"/>
              <w:bottom w:val="single" w:sz="6" w:space="0" w:color="CCCCCC"/>
              <w:right w:val="single" w:sz="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vMerge/>
            <w:tcBorders>
              <w:top w:val="single" w:sz="6" w:space="0" w:color="CCCCCC"/>
              <w:left w:val="single" w:sz="4" w:space="0" w:color="000000"/>
              <w:bottom w:val="single" w:sz="6" w:space="0" w:color="CCCCCC"/>
              <w:right w:val="single" w:sz="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vMerge/>
            <w:tcBorders>
              <w:top w:val="single" w:sz="6" w:space="0" w:color="CCCCCC"/>
              <w:left w:val="single" w:sz="4" w:space="0" w:color="000000"/>
              <w:bottom w:val="single" w:sz="6" w:space="0" w:color="CCCCCC"/>
              <w:right w:val="single" w:sz="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tcW w:w="313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物联互联技术</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专科</w:t>
            </w:r>
          </w:p>
        </w:tc>
        <w:tc>
          <w:tcPr>
            <w:tcW w:w="109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3</w:t>
            </w:r>
          </w:p>
        </w:tc>
        <w:tc>
          <w:tcPr>
            <w:tcW w:w="138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19000</w:t>
            </w:r>
          </w:p>
        </w:tc>
      </w:tr>
      <w:tr>
        <w:tblPrEx>
          <w:tblW w:w="14326" w:type="dxa"/>
          <w:tblInd w:w="135" w:type="dxa"/>
          <w:tblCellMar>
            <w:top w:w="15" w:type="dxa"/>
            <w:left w:w="15" w:type="dxa"/>
            <w:bottom w:w="15" w:type="dxa"/>
            <w:right w:w="15" w:type="dxa"/>
          </w:tblCellMar>
        </w:tblPrEx>
        <w:trPr>
          <w:trHeight w:val="285"/>
        </w:trPr>
        <w:tc>
          <w:tcPr>
            <w:tcW w:w="2375" w:type="dxa"/>
            <w:vMerge w:val="restart"/>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休闲体育系</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670405</w:t>
            </w:r>
          </w:p>
        </w:tc>
        <w:tc>
          <w:tcPr>
            <w:tcW w:w="253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高尔夫球运动与管理</w:t>
            </w:r>
          </w:p>
        </w:tc>
        <w:tc>
          <w:tcPr>
            <w:tcW w:w="313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高尔夫球青少年教育与管理</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专科</w:t>
            </w:r>
          </w:p>
        </w:tc>
        <w:tc>
          <w:tcPr>
            <w:tcW w:w="109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3</w:t>
            </w:r>
          </w:p>
        </w:tc>
        <w:tc>
          <w:tcPr>
            <w:tcW w:w="138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20000</w:t>
            </w:r>
          </w:p>
        </w:tc>
      </w:tr>
      <w:tr>
        <w:tblPrEx>
          <w:tblW w:w="14326" w:type="dxa"/>
          <w:tblInd w:w="135" w:type="dxa"/>
          <w:tblCellMar>
            <w:top w:w="15" w:type="dxa"/>
            <w:left w:w="15" w:type="dxa"/>
            <w:bottom w:w="15" w:type="dxa"/>
            <w:right w:w="15" w:type="dxa"/>
          </w:tblCellMar>
        </w:tblPrEx>
        <w:trPr>
          <w:trHeight w:val="285"/>
        </w:trPr>
        <w:tc>
          <w:tcPr>
            <w:vMerge/>
            <w:tcBorders>
              <w:top w:val="single" w:sz="6" w:space="0" w:color="CCCCCC"/>
              <w:bottom w:val="single" w:sz="6" w:space="0" w:color="CCCCCC"/>
              <w:right w:val="single" w:sz="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tcW w:w="940" w:type="dxa"/>
            <w:vMerge w:val="restart"/>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670408</w:t>
            </w:r>
          </w:p>
        </w:tc>
        <w:tc>
          <w:tcPr>
            <w:tcW w:w="2530" w:type="dxa"/>
            <w:vMerge w:val="restart"/>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体育运营与管理</w:t>
            </w:r>
          </w:p>
        </w:tc>
        <w:tc>
          <w:tcPr>
            <w:tcW w:w="313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健身健美教练</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专科</w:t>
            </w:r>
          </w:p>
        </w:tc>
        <w:tc>
          <w:tcPr>
            <w:tcW w:w="109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3</w:t>
            </w:r>
          </w:p>
        </w:tc>
        <w:tc>
          <w:tcPr>
            <w:tcW w:w="138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16500</w:t>
            </w:r>
          </w:p>
        </w:tc>
      </w:tr>
      <w:tr>
        <w:tblPrEx>
          <w:tblW w:w="14326" w:type="dxa"/>
          <w:tblInd w:w="135" w:type="dxa"/>
          <w:tblCellMar>
            <w:top w:w="15" w:type="dxa"/>
            <w:left w:w="15" w:type="dxa"/>
            <w:bottom w:w="15" w:type="dxa"/>
            <w:right w:w="15" w:type="dxa"/>
          </w:tblCellMar>
        </w:tblPrEx>
        <w:trPr>
          <w:trHeight w:val="285"/>
        </w:trPr>
        <w:tc>
          <w:tcPr>
            <w:vMerge/>
            <w:tcBorders>
              <w:top w:val="single" w:sz="6" w:space="0" w:color="CCCCCC"/>
              <w:bottom w:val="single" w:sz="6" w:space="0" w:color="CCCCCC"/>
              <w:right w:val="single" w:sz="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vMerge/>
            <w:tcBorders>
              <w:top w:val="single" w:sz="6" w:space="0" w:color="CCCCCC"/>
              <w:left w:val="single" w:sz="4" w:space="0" w:color="000000"/>
              <w:bottom w:val="single" w:sz="6" w:space="0" w:color="CCCCCC"/>
              <w:right w:val="single" w:sz="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vMerge/>
            <w:tcBorders>
              <w:top w:val="single" w:sz="6" w:space="0" w:color="CCCCCC"/>
              <w:left w:val="single" w:sz="4" w:space="0" w:color="000000"/>
              <w:bottom w:val="single" w:sz="6" w:space="0" w:color="CCCCCC"/>
              <w:right w:val="single" w:sz="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tcW w:w="313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健身健美青少年体适能教育与管理</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专科</w:t>
            </w:r>
          </w:p>
        </w:tc>
        <w:tc>
          <w:tcPr>
            <w:tcW w:w="109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3</w:t>
            </w:r>
          </w:p>
        </w:tc>
        <w:tc>
          <w:tcPr>
            <w:tcW w:w="138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16500</w:t>
            </w:r>
          </w:p>
        </w:tc>
      </w:tr>
      <w:tr>
        <w:tblPrEx>
          <w:tblW w:w="14326" w:type="dxa"/>
          <w:tblInd w:w="135" w:type="dxa"/>
          <w:tblCellMar>
            <w:top w:w="15" w:type="dxa"/>
            <w:left w:w="15" w:type="dxa"/>
            <w:bottom w:w="15" w:type="dxa"/>
            <w:right w:w="15" w:type="dxa"/>
          </w:tblCellMar>
        </w:tblPrEx>
        <w:trPr>
          <w:trHeight w:val="285"/>
        </w:trPr>
        <w:tc>
          <w:tcPr>
            <w:vMerge/>
            <w:tcBorders>
              <w:top w:val="single" w:sz="6" w:space="0" w:color="CCCCCC"/>
              <w:bottom w:val="single" w:sz="6" w:space="0" w:color="CCCCCC"/>
              <w:right w:val="single" w:sz="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vMerge/>
            <w:tcBorders>
              <w:top w:val="single" w:sz="6" w:space="0" w:color="CCCCCC"/>
              <w:left w:val="single" w:sz="4" w:space="0" w:color="000000"/>
              <w:bottom w:val="single" w:sz="6" w:space="0" w:color="CCCCCC"/>
              <w:right w:val="single" w:sz="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vMerge/>
            <w:tcBorders>
              <w:top w:val="single" w:sz="6" w:space="0" w:color="CCCCCC"/>
              <w:left w:val="single" w:sz="4" w:space="0" w:color="000000"/>
              <w:bottom w:val="single" w:sz="6" w:space="0" w:color="CCCCCC"/>
              <w:right w:val="single" w:sz="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tcW w:w="313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马术运动青少年教育与管理</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专科</w:t>
            </w:r>
          </w:p>
        </w:tc>
        <w:tc>
          <w:tcPr>
            <w:tcW w:w="109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2</w:t>
            </w:r>
          </w:p>
        </w:tc>
        <w:tc>
          <w:tcPr>
            <w:tcW w:w="138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30000</w:t>
            </w:r>
          </w:p>
        </w:tc>
      </w:tr>
      <w:tr>
        <w:tblPrEx>
          <w:tblW w:w="14326" w:type="dxa"/>
          <w:tblInd w:w="135" w:type="dxa"/>
          <w:tblCellMar>
            <w:top w:w="15" w:type="dxa"/>
            <w:left w:w="15" w:type="dxa"/>
            <w:bottom w:w="15" w:type="dxa"/>
            <w:right w:w="15" w:type="dxa"/>
          </w:tblCellMar>
        </w:tblPrEx>
        <w:trPr>
          <w:trHeight w:val="285"/>
        </w:trPr>
        <w:tc>
          <w:tcPr>
            <w:vMerge/>
            <w:tcBorders>
              <w:top w:val="single" w:sz="6" w:space="0" w:color="CCCCCC"/>
              <w:bottom w:val="single" w:sz="6" w:space="0" w:color="CCCCCC"/>
              <w:right w:val="single" w:sz="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vMerge/>
            <w:tcBorders>
              <w:top w:val="single" w:sz="6" w:space="0" w:color="CCCCCC"/>
              <w:left w:val="single" w:sz="4" w:space="0" w:color="000000"/>
              <w:bottom w:val="single" w:sz="6" w:space="0" w:color="CCCCCC"/>
              <w:right w:val="single" w:sz="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vMerge/>
            <w:tcBorders>
              <w:top w:val="single" w:sz="6" w:space="0" w:color="CCCCCC"/>
              <w:left w:val="single" w:sz="4" w:space="0" w:color="000000"/>
              <w:bottom w:val="single" w:sz="6" w:space="0" w:color="CCCCCC"/>
              <w:right w:val="single" w:sz="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tcW w:w="313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冰上运动青少年教育与管理</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专科</w:t>
            </w:r>
          </w:p>
        </w:tc>
        <w:tc>
          <w:tcPr>
            <w:tcW w:w="109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3</w:t>
            </w:r>
          </w:p>
        </w:tc>
        <w:tc>
          <w:tcPr>
            <w:tcW w:w="138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22000</w:t>
            </w:r>
          </w:p>
        </w:tc>
      </w:tr>
      <w:tr>
        <w:tblPrEx>
          <w:tblW w:w="14326" w:type="dxa"/>
          <w:tblInd w:w="135" w:type="dxa"/>
          <w:tblCellMar>
            <w:top w:w="15" w:type="dxa"/>
            <w:left w:w="15" w:type="dxa"/>
            <w:bottom w:w="15" w:type="dxa"/>
            <w:right w:w="15" w:type="dxa"/>
          </w:tblCellMar>
        </w:tblPrEx>
        <w:trPr>
          <w:trHeight w:val="285"/>
        </w:trPr>
        <w:tc>
          <w:tcPr>
            <w:vMerge/>
            <w:tcBorders>
              <w:top w:val="single" w:sz="6" w:space="0" w:color="CCCCCC"/>
              <w:bottom w:val="single" w:sz="6" w:space="0" w:color="CCCCCC"/>
              <w:right w:val="single" w:sz="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vMerge/>
            <w:tcBorders>
              <w:top w:val="single" w:sz="6" w:space="0" w:color="CCCCCC"/>
              <w:left w:val="single" w:sz="4" w:space="0" w:color="000000"/>
              <w:bottom w:val="single" w:sz="6" w:space="0" w:color="CCCCCC"/>
              <w:right w:val="single" w:sz="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vMerge/>
            <w:tcBorders>
              <w:top w:val="single" w:sz="6" w:space="0" w:color="CCCCCC"/>
              <w:left w:val="single" w:sz="4" w:space="0" w:color="000000"/>
              <w:bottom w:val="single" w:sz="6" w:space="0" w:color="CCCCCC"/>
              <w:right w:val="single" w:sz="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tcW w:w="313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游泳运动青少年教育与管理</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专科</w:t>
            </w:r>
          </w:p>
        </w:tc>
        <w:tc>
          <w:tcPr>
            <w:tcW w:w="109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3</w:t>
            </w:r>
          </w:p>
        </w:tc>
        <w:tc>
          <w:tcPr>
            <w:tcW w:w="138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22000</w:t>
            </w:r>
          </w:p>
        </w:tc>
      </w:tr>
      <w:tr>
        <w:tblPrEx>
          <w:tblW w:w="14326" w:type="dxa"/>
          <w:tblInd w:w="135" w:type="dxa"/>
          <w:tblCellMar>
            <w:top w:w="15" w:type="dxa"/>
            <w:left w:w="15" w:type="dxa"/>
            <w:bottom w:w="15" w:type="dxa"/>
            <w:right w:w="15" w:type="dxa"/>
          </w:tblCellMar>
        </w:tblPrEx>
        <w:trPr>
          <w:trHeight w:val="285"/>
        </w:trPr>
        <w:tc>
          <w:tcPr>
            <w:vMerge/>
            <w:tcBorders>
              <w:top w:val="single" w:sz="6" w:space="0" w:color="CCCCCC"/>
              <w:bottom w:val="single" w:sz="6" w:space="0" w:color="CCCCCC"/>
              <w:right w:val="single" w:sz="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vMerge/>
            <w:tcBorders>
              <w:top w:val="single" w:sz="6" w:space="0" w:color="CCCCCC"/>
              <w:left w:val="single" w:sz="4" w:space="0" w:color="000000"/>
              <w:bottom w:val="single" w:sz="6" w:space="0" w:color="CCCCCC"/>
              <w:right w:val="single" w:sz="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vMerge/>
            <w:tcBorders>
              <w:top w:val="single" w:sz="6" w:space="0" w:color="CCCCCC"/>
              <w:left w:val="single" w:sz="4" w:space="0" w:color="000000"/>
              <w:bottom w:val="single" w:sz="6" w:space="0" w:color="CCCCCC"/>
              <w:right w:val="single" w:sz="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tcW w:w="313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足球运动青少年教育与管理</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专科</w:t>
            </w:r>
          </w:p>
        </w:tc>
        <w:tc>
          <w:tcPr>
            <w:tcW w:w="109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3</w:t>
            </w:r>
          </w:p>
        </w:tc>
        <w:tc>
          <w:tcPr>
            <w:tcW w:w="138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18000</w:t>
            </w:r>
          </w:p>
        </w:tc>
      </w:tr>
      <w:tr>
        <w:tblPrEx>
          <w:tblW w:w="14326" w:type="dxa"/>
          <w:tblInd w:w="135" w:type="dxa"/>
          <w:tblCellMar>
            <w:top w:w="15" w:type="dxa"/>
            <w:left w:w="15" w:type="dxa"/>
            <w:bottom w:w="15" w:type="dxa"/>
            <w:right w:w="15" w:type="dxa"/>
          </w:tblCellMar>
        </w:tblPrEx>
        <w:trPr>
          <w:trHeight w:val="285"/>
        </w:trPr>
        <w:tc>
          <w:tcPr>
            <w:vMerge/>
            <w:tcBorders>
              <w:top w:val="single" w:sz="6" w:space="0" w:color="CCCCCC"/>
              <w:bottom w:val="single" w:sz="6" w:space="0" w:color="CCCCCC"/>
              <w:right w:val="single" w:sz="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vMerge/>
            <w:tcBorders>
              <w:top w:val="single" w:sz="6" w:space="0" w:color="CCCCCC"/>
              <w:left w:val="single" w:sz="4" w:space="0" w:color="000000"/>
              <w:bottom w:val="single" w:sz="6" w:space="0" w:color="CCCCCC"/>
              <w:right w:val="single" w:sz="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vMerge/>
            <w:tcBorders>
              <w:top w:val="single" w:sz="6" w:space="0" w:color="CCCCCC"/>
              <w:left w:val="single" w:sz="4" w:space="0" w:color="000000"/>
              <w:bottom w:val="single" w:sz="6" w:space="0" w:color="CCCCCC"/>
              <w:right w:val="single" w:sz="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tcW w:w="313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网球运动青少年教育与管理</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专科</w:t>
            </w:r>
          </w:p>
        </w:tc>
        <w:tc>
          <w:tcPr>
            <w:tcW w:w="109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3</w:t>
            </w:r>
          </w:p>
        </w:tc>
        <w:tc>
          <w:tcPr>
            <w:tcW w:w="138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22000</w:t>
            </w:r>
          </w:p>
        </w:tc>
      </w:tr>
      <w:tr>
        <w:tblPrEx>
          <w:tblW w:w="14326" w:type="dxa"/>
          <w:tblInd w:w="135" w:type="dxa"/>
          <w:tblCellMar>
            <w:top w:w="15" w:type="dxa"/>
            <w:left w:w="15" w:type="dxa"/>
            <w:bottom w:w="15" w:type="dxa"/>
            <w:right w:w="15" w:type="dxa"/>
          </w:tblCellMar>
        </w:tblPrEx>
        <w:trPr>
          <w:trHeight w:val="285"/>
        </w:trPr>
        <w:tc>
          <w:tcPr>
            <w:tcW w:w="2375" w:type="dxa"/>
            <w:vMerge w:val="restart"/>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文化创意系</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660208</w:t>
            </w:r>
          </w:p>
        </w:tc>
        <w:tc>
          <w:tcPr>
            <w:tcW w:w="253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影视多媒体技术</w:t>
            </w:r>
          </w:p>
        </w:tc>
        <w:tc>
          <w:tcPr>
            <w:tcW w:w="313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专科</w:t>
            </w:r>
          </w:p>
        </w:tc>
        <w:tc>
          <w:tcPr>
            <w:tcW w:w="109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3</w:t>
            </w:r>
          </w:p>
        </w:tc>
        <w:tc>
          <w:tcPr>
            <w:tcW w:w="138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18000</w:t>
            </w:r>
          </w:p>
        </w:tc>
      </w:tr>
      <w:tr>
        <w:tblPrEx>
          <w:tblW w:w="14326" w:type="dxa"/>
          <w:tblInd w:w="135" w:type="dxa"/>
          <w:tblCellMar>
            <w:top w:w="15" w:type="dxa"/>
            <w:left w:w="15" w:type="dxa"/>
            <w:bottom w:w="15" w:type="dxa"/>
            <w:right w:w="15" w:type="dxa"/>
          </w:tblCellMar>
        </w:tblPrEx>
        <w:trPr>
          <w:trHeight w:val="285"/>
        </w:trPr>
        <w:tc>
          <w:tcPr>
            <w:vMerge/>
            <w:tcBorders>
              <w:top w:val="single" w:sz="6" w:space="0" w:color="CCCCCC"/>
              <w:bottom w:val="single" w:sz="6" w:space="0" w:color="CCCCCC"/>
              <w:right w:val="single" w:sz="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650101</w:t>
            </w:r>
          </w:p>
        </w:tc>
        <w:tc>
          <w:tcPr>
            <w:tcW w:w="253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艺术设计(美术类)</w:t>
            </w:r>
          </w:p>
        </w:tc>
        <w:tc>
          <w:tcPr>
            <w:tcW w:w="313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专科</w:t>
            </w:r>
          </w:p>
        </w:tc>
        <w:tc>
          <w:tcPr>
            <w:tcW w:w="109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3</w:t>
            </w:r>
          </w:p>
        </w:tc>
        <w:tc>
          <w:tcPr>
            <w:tcW w:w="138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16000</w:t>
            </w:r>
          </w:p>
        </w:tc>
      </w:tr>
      <w:tr>
        <w:tblPrEx>
          <w:tblW w:w="14326" w:type="dxa"/>
          <w:tblInd w:w="135" w:type="dxa"/>
          <w:tblCellMar>
            <w:top w:w="15" w:type="dxa"/>
            <w:left w:w="15" w:type="dxa"/>
            <w:bottom w:w="15" w:type="dxa"/>
            <w:right w:w="15" w:type="dxa"/>
          </w:tblCellMar>
        </w:tblPrEx>
        <w:trPr>
          <w:trHeight w:val="285"/>
        </w:trPr>
        <w:tc>
          <w:tcPr>
            <w:vMerge/>
            <w:tcBorders>
              <w:top w:val="single" w:sz="6" w:space="0" w:color="CCCCCC"/>
              <w:bottom w:val="single" w:sz="6" w:space="0" w:color="CCCCCC"/>
              <w:right w:val="single" w:sz="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660209</w:t>
            </w:r>
          </w:p>
        </w:tc>
        <w:tc>
          <w:tcPr>
            <w:tcW w:w="253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影视动画(美术类)</w:t>
            </w:r>
          </w:p>
        </w:tc>
        <w:tc>
          <w:tcPr>
            <w:tcW w:w="313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专科</w:t>
            </w:r>
          </w:p>
        </w:tc>
        <w:tc>
          <w:tcPr>
            <w:tcW w:w="109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3</w:t>
            </w:r>
          </w:p>
        </w:tc>
        <w:tc>
          <w:tcPr>
            <w:tcW w:w="138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18000</w:t>
            </w:r>
          </w:p>
        </w:tc>
      </w:tr>
      <w:tr>
        <w:tblPrEx>
          <w:tblW w:w="14326" w:type="dxa"/>
          <w:tblInd w:w="135" w:type="dxa"/>
          <w:tblCellMar>
            <w:top w:w="15" w:type="dxa"/>
            <w:left w:w="15" w:type="dxa"/>
            <w:bottom w:w="15" w:type="dxa"/>
            <w:right w:w="15" w:type="dxa"/>
          </w:tblCellMar>
        </w:tblPrEx>
        <w:trPr>
          <w:trHeight w:val="285"/>
        </w:trPr>
        <w:tc>
          <w:tcPr>
            <w:tcW w:w="2375" w:type="dxa"/>
            <w:vMerge w:val="restart"/>
            <w:tcBorders>
              <w:top w:val="single" w:sz="6" w:space="0" w:color="CCCCCC"/>
              <w:right w:val="single" w:sz="4" w:space="0" w:color="000000"/>
            </w:tcBorders>
            <w:noWrap w:val="0"/>
            <w:tcMar>
              <w:top w:w="22" w:type="dxa"/>
              <w:left w:w="105" w:type="dxa"/>
              <w:bottom w:w="45"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经济管理系</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630503</w:t>
            </w:r>
          </w:p>
        </w:tc>
        <w:tc>
          <w:tcPr>
            <w:tcW w:w="253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国际商务</w:t>
            </w:r>
          </w:p>
        </w:tc>
        <w:tc>
          <w:tcPr>
            <w:tcW w:w="313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专科</w:t>
            </w:r>
          </w:p>
        </w:tc>
        <w:tc>
          <w:tcPr>
            <w:tcW w:w="109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3</w:t>
            </w:r>
          </w:p>
        </w:tc>
        <w:tc>
          <w:tcPr>
            <w:tcW w:w="138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10800</w:t>
            </w:r>
          </w:p>
        </w:tc>
      </w:tr>
      <w:tr>
        <w:tblPrEx>
          <w:tblW w:w="14326" w:type="dxa"/>
          <w:tblInd w:w="135" w:type="dxa"/>
          <w:tblCellMar>
            <w:top w:w="15" w:type="dxa"/>
            <w:left w:w="15" w:type="dxa"/>
            <w:bottom w:w="15" w:type="dxa"/>
            <w:right w:w="15" w:type="dxa"/>
          </w:tblCellMar>
        </w:tblPrEx>
        <w:trPr>
          <w:trHeight w:val="285"/>
        </w:trPr>
        <w:tc>
          <w:tcPr>
            <w:vMerge/>
            <w:tcBorders>
              <w:top w:val="single" w:sz="6" w:space="0" w:color="CCCCCC"/>
              <w:right w:val="single" w:sz="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690202</w:t>
            </w:r>
          </w:p>
        </w:tc>
        <w:tc>
          <w:tcPr>
            <w:tcW w:w="253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人力资源管理</w:t>
            </w:r>
          </w:p>
        </w:tc>
        <w:tc>
          <w:tcPr>
            <w:tcW w:w="313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专科</w:t>
            </w:r>
          </w:p>
        </w:tc>
        <w:tc>
          <w:tcPr>
            <w:tcW w:w="109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3</w:t>
            </w:r>
          </w:p>
        </w:tc>
        <w:tc>
          <w:tcPr>
            <w:tcW w:w="138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10800</w:t>
            </w:r>
          </w:p>
        </w:tc>
      </w:tr>
      <w:tr>
        <w:tblPrEx>
          <w:tblW w:w="14326" w:type="dxa"/>
          <w:tblInd w:w="135" w:type="dxa"/>
          <w:tblCellMar>
            <w:top w:w="15" w:type="dxa"/>
            <w:left w:w="15" w:type="dxa"/>
            <w:bottom w:w="15" w:type="dxa"/>
            <w:right w:w="15" w:type="dxa"/>
          </w:tblCellMar>
        </w:tblPrEx>
        <w:trPr>
          <w:trHeight w:val="285"/>
        </w:trPr>
        <w:tc>
          <w:tcPr>
            <w:vMerge/>
            <w:tcBorders>
              <w:top w:val="single" w:sz="6" w:space="0" w:color="CCCCCC"/>
              <w:right w:val="single" w:sz="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690301</w:t>
            </w:r>
          </w:p>
        </w:tc>
        <w:tc>
          <w:tcPr>
            <w:tcW w:w="253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老年服务与管理</w:t>
            </w:r>
          </w:p>
        </w:tc>
        <w:tc>
          <w:tcPr>
            <w:tcW w:w="313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老年机构运营管理</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专科</w:t>
            </w:r>
          </w:p>
        </w:tc>
        <w:tc>
          <w:tcPr>
            <w:tcW w:w="109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3</w:t>
            </w:r>
          </w:p>
        </w:tc>
        <w:tc>
          <w:tcPr>
            <w:tcW w:w="138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15000</w:t>
            </w:r>
          </w:p>
        </w:tc>
      </w:tr>
      <w:tr>
        <w:tblPrEx>
          <w:tblW w:w="14326" w:type="dxa"/>
          <w:tblInd w:w="135" w:type="dxa"/>
          <w:tblCellMar>
            <w:top w:w="15" w:type="dxa"/>
            <w:left w:w="15" w:type="dxa"/>
            <w:bottom w:w="15" w:type="dxa"/>
            <w:right w:w="15" w:type="dxa"/>
          </w:tblCellMar>
        </w:tblPrEx>
        <w:trPr>
          <w:trHeight w:val="285"/>
        </w:trPr>
        <w:tc>
          <w:tcPr>
            <w:vMerge/>
            <w:tcBorders>
              <w:top w:val="single" w:sz="6" w:space="0" w:color="CCCCCC"/>
              <w:right w:val="single" w:sz="4" w:space="0" w:color="000000"/>
            </w:tcBorders>
            <w:vAlign w:val="center"/>
            <w:hideMark/>
          </w:tcPr>
          <w:p>
            <w:pPr>
              <w:rPr>
                <w:rFonts w:ascii="Microsoft YaHei" w:eastAsia="Microsoft YaHei" w:hAnsi="Microsoft YaHei" w:cs="Microsoft YaHei"/>
                <w:b w:val="0"/>
                <w:bCs w:val="0"/>
                <w:i w:val="0"/>
                <w:iCs w:val="0"/>
                <w:smallCaps w:val="0"/>
                <w:color w:val="000000"/>
                <w:sz w:val="18"/>
                <w:szCs w:val="18"/>
              </w:rPr>
            </w:pPr>
          </w:p>
        </w:tc>
        <w:tc>
          <w:tcPr>
            <w:tcW w:w="940" w:type="dxa"/>
            <w:tcBorders>
              <w:top w:val="single" w:sz="6" w:space="0" w:color="CCCCCC"/>
              <w:left w:val="single" w:sz="4" w:space="0" w:color="000000"/>
              <w:right w:val="single" w:sz="4" w:space="0" w:color="000000"/>
            </w:tcBorders>
            <w:noWrap w:val="0"/>
            <w:tcMar>
              <w:top w:w="22" w:type="dxa"/>
              <w:left w:w="80" w:type="dxa"/>
              <w:bottom w:w="45"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620801</w:t>
            </w:r>
          </w:p>
        </w:tc>
        <w:tc>
          <w:tcPr>
            <w:tcW w:w="2530" w:type="dxa"/>
            <w:tcBorders>
              <w:top w:val="single" w:sz="6" w:space="0" w:color="CCCCCC"/>
              <w:left w:val="single" w:sz="4" w:space="0" w:color="000000"/>
              <w:right w:val="single" w:sz="4" w:space="0" w:color="000000"/>
            </w:tcBorders>
            <w:noWrap w:val="0"/>
            <w:tcMar>
              <w:top w:w="22" w:type="dxa"/>
              <w:left w:w="80" w:type="dxa"/>
              <w:bottom w:w="45"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健康管理</w:t>
            </w:r>
          </w:p>
        </w:tc>
        <w:tc>
          <w:tcPr>
            <w:tcW w:w="3130" w:type="dxa"/>
            <w:tcBorders>
              <w:top w:val="single" w:sz="6" w:space="0" w:color="CCCCCC"/>
              <w:left w:val="single" w:sz="4" w:space="0" w:color="000000"/>
              <w:right w:val="single" w:sz="4" w:space="0" w:color="000000"/>
            </w:tcBorders>
            <w:noWrap w:val="0"/>
            <w:tcMar>
              <w:top w:w="22" w:type="dxa"/>
              <w:left w:w="80" w:type="dxa"/>
              <w:bottom w:w="45"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940" w:type="dxa"/>
            <w:tcBorders>
              <w:top w:val="single" w:sz="6" w:space="0" w:color="CCCCCC"/>
              <w:left w:val="single" w:sz="4" w:space="0" w:color="000000"/>
              <w:right w:val="single" w:sz="4" w:space="0" w:color="000000"/>
            </w:tcBorders>
            <w:noWrap w:val="0"/>
            <w:tcMar>
              <w:top w:w="22" w:type="dxa"/>
              <w:left w:w="80" w:type="dxa"/>
              <w:bottom w:w="45"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专科</w:t>
            </w:r>
          </w:p>
        </w:tc>
        <w:tc>
          <w:tcPr>
            <w:tcW w:w="1090" w:type="dxa"/>
            <w:tcBorders>
              <w:top w:val="single" w:sz="6" w:space="0" w:color="CCCCCC"/>
              <w:left w:val="single" w:sz="4" w:space="0" w:color="000000"/>
              <w:right w:val="single" w:sz="4" w:space="0" w:color="000000"/>
            </w:tcBorders>
            <w:noWrap w:val="0"/>
            <w:tcMar>
              <w:top w:w="22" w:type="dxa"/>
              <w:left w:w="80" w:type="dxa"/>
              <w:bottom w:w="45" w:type="dxa"/>
              <w:right w:w="20"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3</w:t>
            </w:r>
          </w:p>
        </w:tc>
        <w:tc>
          <w:tcPr>
            <w:tcW w:w="1385" w:type="dxa"/>
            <w:tcBorders>
              <w:top w:val="single" w:sz="6" w:space="0" w:color="CCCCCC"/>
              <w:left w:val="single" w:sz="4" w:space="0" w:color="000000"/>
            </w:tcBorders>
            <w:noWrap w:val="0"/>
            <w:tcMar>
              <w:top w:w="22" w:type="dxa"/>
              <w:left w:w="80"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sz w:val="18"/>
                <w:szCs w:val="18"/>
              </w:rPr>
              <w:t>15000</w:t>
            </w:r>
          </w:p>
        </w:tc>
      </w:tr>
    </w:tbl>
    <w:p>
      <w:pPr>
        <w:pBdr>
          <w:top w:val="none" w:sz="0" w:space="0" w:color="auto"/>
          <w:left w:val="none" w:sz="0" w:space="0" w:color="auto"/>
          <w:bottom w:val="none" w:sz="0" w:space="0" w:color="auto"/>
          <w:right w:val="none" w:sz="0" w:space="0" w:color="auto"/>
        </w:pBdr>
        <w:spacing w:before="0" w:after="0" w:line="495"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95"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333333"/>
          <w:sz w:val="21"/>
          <w:szCs w:val="21"/>
        </w:rPr>
        <w:t>报考须知：</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333333"/>
          <w:sz w:val="21"/>
          <w:szCs w:val="21"/>
        </w:rPr>
        <w:t>1、学前教育专业两年制方向，限招中职幼师专业学生；2、艺术设计、影视动画属美术类专业，报考须取得考生所在省美术统考合格证。</w:t>
      </w:r>
    </w:p>
    <w:p>
      <w:pPr>
        <w:pBdr>
          <w:top w:val="none" w:sz="0" w:space="0" w:color="auto"/>
          <w:left w:val="none" w:sz="0" w:space="0" w:color="auto"/>
          <w:bottom w:val="none" w:sz="0" w:space="0" w:color="auto"/>
          <w:right w:val="none" w:sz="0" w:space="0" w:color="auto"/>
        </w:pBdr>
        <w:spacing w:before="0" w:after="0" w:line="315" w:lineRule="atLeast"/>
        <w:ind w:left="0" w:right="0" w:firstLine="420"/>
        <w:jc w:val="center"/>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b/>
          <w:bCs/>
          <w:color w:val="666666"/>
          <w:sz w:val="21"/>
          <w:szCs w:val="21"/>
        </w:rPr>
        <w:t>录取原则</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1、本着“公平、公正、公开”的原则，以高考成绩为依据，德智体全面衡量择优录取。学校录取以志愿优先。第一志愿不满时，可依次录取其他志愿的考生；</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2、学校调阅考生档案比例一般为120%，对于进档考生，根据考生成绩从高分到低分择优录取；学校可根据录取情况对服从调剂的考生进行专业调剂；</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影视动画和艺术设计属美术类专业，我院不再单独组织校考，直接使用各省市美术类专业统考成绩，在专业课和文化课考试成绩均达到各省最低控制分数线的条件下，按照考生的文化课考试成绩由高到低择优录取；</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4、各专业按各省（自治区、直辖市）招办所规定的批次录取，文理兼收。</w:t>
      </w:r>
    </w:p>
    <w:p>
      <w:pPr>
        <w:pBdr>
          <w:top w:val="none" w:sz="0" w:space="0" w:color="auto"/>
          <w:left w:val="none" w:sz="0" w:space="0" w:color="auto"/>
          <w:bottom w:val="none" w:sz="0" w:space="0" w:color="auto"/>
          <w:right w:val="none" w:sz="0" w:space="0" w:color="auto"/>
        </w:pBdr>
        <w:spacing w:before="0" w:after="0" w:line="315" w:lineRule="atLeast"/>
        <w:ind w:left="0" w:right="0" w:firstLine="420"/>
        <w:jc w:val="center"/>
        <w:rPr>
          <w:rFonts w:ascii="Microsoft YaHei" w:eastAsia="Microsoft YaHei" w:hAnsi="Microsoft YaHei" w:cs="Microsoft YaHei"/>
          <w:color w:val="666666"/>
          <w:sz w:val="21"/>
          <w:szCs w:val="21"/>
        </w:rPr>
      </w:pPr>
      <w:r>
        <w:rPr>
          <w:rFonts w:ascii="Microsoft YaHei" w:eastAsia="Microsoft YaHei" w:hAnsi="Microsoft YaHei" w:cs="Microsoft YaHei"/>
          <w:b/>
          <w:bCs/>
          <w:color w:val="333333"/>
          <w:sz w:val="21"/>
          <w:szCs w:val="21"/>
        </w:rPr>
        <w:t>第五章 附则</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1、学历：计划内各专业修业期满，成绩合格者，由我院颁发经教育部电子注册的普通高等教育专科毕业证书，国家承认学历；</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2、对于家庭经济困难的学生，通过实施国家助学金、国家奖学金、国家励志奖学金、生源地贷款、勤工俭学、顶岗实践等一系列的暖心工程，实实在在地助力每一位莘莘学子完成学业；</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3、住宿费：空调6人间3300元/年、高档4人间5060元/年；</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4、咨询电话：010-51631234、51631235 、51631111 传真：010-51631601；</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5、联系地址：北京市昌平区中关村科技园区创新路20号，邮政编码：102200；</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6、学校网址：http://www.hju.net.cn；</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7、乘车路线</w:t>
      </w:r>
      <w:r>
        <w:rPr>
          <w:rFonts w:ascii="Microsoft YaHei" w:eastAsia="Microsoft YaHei" w:hAnsi="Microsoft YaHei" w:cs="Microsoft YaHei"/>
          <w:b/>
          <w:bCs/>
          <w:color w:val="666666"/>
          <w:sz w:val="21"/>
          <w:szCs w:val="21"/>
        </w:rPr>
        <w:t>：</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北京站：由北京站乘地铁到东直门站换乘地铁13号线至西二旗站下车，换乘地铁昌平线至沙河高教园站下车，再换乘52路公交车至汇佳学校站下车即到。</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北京西站：由北京西站乘地铁到国家图书馆站换乘地铁4号线至西直门站下车，换乘地铁13号线至西二旗站下车，换乘地铁昌平线至沙河高教园站下车，再换乘52路公交车至汇佳学校站下车即到。</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北京南站：由北京南站乘地铁4号线至西直门站换乘地铁13号线至西二旗站下车，换乘地铁昌平线至沙河高教园站下车，再换乘52路公交车至汇佳学校站下车即到。</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自驾车或乘出租车（出京方向）：上京藏高速（原八达岭高速）行驶至28白浮泉路（科技园出口）下高速前行150米至十字路口右转，直行到第三个交通指示灯右转，再直行500米即到；（进京方向）京藏高速请在百葛服务区内掉头后，路线同出京方向。</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333333"/>
          <w:sz w:val="21"/>
          <w:szCs w:val="21"/>
        </w:rPr>
        <w:t>8、本章程由北京汇佳职业学院学生开发处负责解释。</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北京汇佳职业学院</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2019年4月30日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北京科技经营管理学院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北京经济技术职业学院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38.html" TargetMode="External" /><Relationship Id="rId5" Type="http://schemas.openxmlformats.org/officeDocument/2006/relationships/hyperlink" Target="http://www.gk114.com/a/gxzs/zszc/beijing/2019/0615/9940.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