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北京石油化工学院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根据《中华人民共和国教育法》《中华人民共和国高等教育法》等相关法律、教育部及各省、直辖市、自治区(以下称招生省份)教育主管部门普通高等学校招生工作有关规定，结合北京石油化工学院（以下称学校）招生工作的具体情况，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学校全称：北京石油化工学院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学校是北京市人民政府教育行政部门主管的公办本科普通高等学校。对达到相应标准的学生，学校依据《北京石油化工学院本科学生学习管理规定》颁发北京石油化工学院本科毕业证书，授予学士学位。学校本科和研究生教育并重，有硕士学位授权一级学科6个、硕士专业学位授权类别7个，是北京市博士学位授予立项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学校法定注册地为北京市大兴区清源北路19号。设有清源、康庄、燕山三个校区。清源、康庄两校区均位于大兴区，相距约2公里，是学生的主要学习生活场所；燕山校区以承担学生的实习为主。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b/>
          <w:bCs/>
          <w:color w:val="666666"/>
          <w:sz w:val="21"/>
          <w:szCs w:val="21"/>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学校本科生招生工作领导小组，全面负责学校本科生招生工作。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招生办公室是学校本科招生的实施机构，负责处理本科招生的日常工作。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学校招生工作在纪检监察部门的监督下进行。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学校招生计划根据教育部和北京市教育委员会核定的年度招生规模，统筹考虑社会需求、办学条件、生源质量、毕业生就业情况等因素进行编制。与此同时，学校执行上级指令计划（少数民族预科、新疆高中班等）。学校高水平运动员招生计划列入核定的年度招生总计划内，高水平运动员录取人数控制在年度本科招生计划总数的1%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学校预留不超过本科计划总数1%的预留计划，主要用于调节各地上线生源的不平衡及解决同分数考生的录取。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学校严格执行国家及招生省份教育主管部门有关招生录取工作的规定。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学校各专业录取时不限定男女比例，对应届生和往届生同等对待。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学校在提档和确定专业时，均承认教育部及招生省份对于考生的政策性加分。所有高考政策性加分项目及分值均不适用于学校高水平运动队招生。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学校按照向社会公布的年度招生计划进行录取，参照招生省份的生源情况和投档规则确定提档比例，提档比例一般不超过105%。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对进档考生，根据考生投档成绩，按照分数优先方式，从高分到低分择优录取，不设专业级差。对进档且服从专业调剂的考生，一般不退档，如考生专业志愿均无法满足，将按照录取情况调剂到招生计划未满专业；对无法满足专业志愿且不服从专业调剂的考生，做退档处理。总分同等条件下的考生，学校依次比较语文、数学、外语等科目成绩，优先录取单科成绩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高考综合改革省份的考生须满足我校相应专业对选考科目的要求，学生的高中综合素质评价在同排位考生录取专业时参考。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北京市“高水平人才交叉培养计划”招生按照北京市相关政策规定执行。其中“外培计划”专业原则上要求外语成绩不低于110分。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 内蒙古自治区按照当年度《内蒙古自治区普通高校招生录取办法》执行，学校实行“招生计划1：1范围内按专业志愿排队录取”的录取规则。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 高水平运动员招生录取规则参见当年学校高水平运动员招生简章。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新生入学后公共外语主要为大学英语，同时学校开设有大学日语。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各专业录取的健康要求原则上按照《普通高等学校招生体检工作指导意见》的要求执行。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新疆高中班民考汉考生按录取专业入校学习。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学校收费按北京市教育委员会和北京市物价管理部门审定的标准执行。学生一律按学年交纳学费和住宿费，学费为每生每学年4200～5000元，详见各省招生专业目录，住宿费为每生每学年750～900元。若国家调整学费、住宿费标准，则执行新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新生入学时设有“绿色通道”，以保证家庭经济困难学生顺利入学。</w:t>
      </w:r>
      <w:r>
        <w:rPr>
          <w:rFonts w:ascii="Microsoft YaHei" w:eastAsia="Microsoft YaHei" w:hAnsi="Microsoft YaHei" w:cs="Microsoft YaHei"/>
          <w:b/>
          <w:bCs/>
          <w:color w:val="666666"/>
          <w:sz w:val="21"/>
          <w:szCs w:val="21"/>
        </w:rPr>
        <w:t>学校建立了“奖、贷、助、补、勤、减、免、偿”八位一体、互为补充的资助体系，帮助家庭经济困难学生顺利完成学业。有关程序按国家相关主管部门和学校规定执行。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考生凭录取通知书按要求到校报到，对未经学校同意逾期不报到的考生，视为自行放弃入学资格。新生入学后，按照国家和学校有关规定进行入学资格复查。复查不合格的学生，依据招生工作有关规定处理。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学校联系方式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咨询电话：010-81292235/2236，18618229115/9125（工作日上午8:00-12:00，下午13:30-17:00；双休日、节假日及录取期间除外）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学校网址：http://www.bipt.edu.cn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招生信息网：http://zhaosheng.bipt.edu.cn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招生电子信箱: zhaosheng@bipt.edu.cn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招生微信公众账号：北京石油化工学院招办（biptzs）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本章程自公布之日起施行。原招生章程同时废止；如遇国家法律、法规、规章和上级有关政策变化，以变化后的规定为准。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本章程由学校本科招生办公室负责解释。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12/22408.html" TargetMode="External" /><Relationship Id="rId5" Type="http://schemas.openxmlformats.org/officeDocument/2006/relationships/hyperlink" Target="http://www.gk114.com/a/gxzs/zszc/beijing/2022/0512/2241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