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北京科技大学天津学院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根据《中华人民共和国教育法》和《中华人民共和国高等教育法》等相关法律法规的有关规定，为了维护学院和考生的合法权益，依法招生，结合北京科技大学天津学院招生工作实际，制定本章程。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本章程是社会了解北京科技大学天津学院有关招生政策、规定和相关信息的主要渠道，是学院开展招生咨询和录取工作的主要依据。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学校名称：北京科技大学天津学院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13898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w:t>
      </w:r>
      <w:r>
        <w:rPr>
          <w:rFonts w:ascii="Times New Roman" w:eastAsia="Times New Roman" w:hAnsi="Times New Roman" w:cs="Times New Roman"/>
        </w:rPr>
        <w:t xml:space="preserve"> </w:t>
      </w:r>
      <w:r>
        <w:rPr>
          <w:rFonts w:ascii="SimSun" w:eastAsia="SimSun" w:hAnsi="SimSun" w:cs="SimSun"/>
        </w:rPr>
        <w:t>学校地址：天津市宝坻区京津新城珠江北环东路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学院设普通本科招生领导小组（简称招生领导小组），全面负责学院招生工作，制定招生政策、招生计划，决定有关招生的重大事宜。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学院设普通本科招生办公室（简称招生办公室），是组织和实施招生工作的常设机构，负责招生的日常工作。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学院招生工作全程由纪检监察部门进行监督检查。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学院根据发展规划、办学条件、学科发展、生源状况和社会需求，编制</w:t>
      </w:r>
      <w:r>
        <w:rPr>
          <w:rFonts w:ascii="Times New Roman" w:eastAsia="Times New Roman" w:hAnsi="Times New Roman" w:cs="Times New Roman"/>
        </w:rPr>
        <w:t>2020</w:t>
      </w:r>
      <w:r>
        <w:rPr>
          <w:rFonts w:ascii="SimSun" w:eastAsia="SimSun" w:hAnsi="SimSun" w:cs="SimSun"/>
        </w:rPr>
        <w:t>年分省分专业计划。分省分专业招生计划以有关省级招办公布的招生计划为准。预留计划的使用将本着公平、公正的原则，用于调节各地统考上线生源的不平衡。预留计划不超过本校本科招生计划总数的</w:t>
      </w:r>
      <w:r>
        <w:rPr>
          <w:rFonts w:ascii="Times New Roman" w:eastAsia="Times New Roman" w:hAnsi="Times New Roman" w:cs="Times New Roman"/>
        </w:rPr>
        <w:t>1%</w:t>
      </w:r>
      <w:r>
        <w:rPr>
          <w:rFonts w:ascii="SimSun" w:eastAsia="SimSun" w:hAnsi="SimSun" w:cs="SimSun"/>
        </w:rPr>
        <w:t>。根据各省生源情况，用于招生规模的适当调整。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本科学费标准：国际经济与贸易、金融工程、会计学、财务管理、法学专业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年，英语和日语专业</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年，护理学和康复治疗学专业</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年，其他理工类专业</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年；各专业收费标准详见省、自治区、直辖市招生办公室公布的招生计划表或学院下发的</w:t>
      </w:r>
      <w:r>
        <w:rPr>
          <w:rFonts w:ascii="Times New Roman" w:eastAsia="Times New Roman" w:hAnsi="Times New Roman" w:cs="Times New Roman"/>
        </w:rPr>
        <w:t>2020</w:t>
      </w:r>
      <w:r>
        <w:rPr>
          <w:rFonts w:ascii="SimSun" w:eastAsia="SimSun" w:hAnsi="SimSun" w:cs="SimSun"/>
        </w:rPr>
        <w:t>年新生入学须知。如对当年度学费标准进行调整，以政府规定的标准为准。学院尚未开展国家助学贷款和减免学费工作，经济困难考生慎重填报。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录取工作遵循公平竞争、公平选拔、公开程序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督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顺序志愿录取省市，其院校志愿录取以志愿优先为原则，即按考生填报的院校志愿顺序，从高分到低分录取第一志愿报考学院的考生，只有当各省、自治区、直辖市公布的同批次最低控制线上第一志愿报考学院的人数少于招生计划数，才录取第二志愿报考我院的考生，以此类推。平行志愿录取执行考生所在地省、自治区、直辖市招生委员会的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如考生符合专业录取要求，以投档分数优先为原则，即先按高分到低分排队，依次按照考生填报的专业志愿顺序录取。如考生分数未达到第一专业志愿录取分数，即看是否达到第二专业志愿录取分数，依此类推，直至最后一个专业志愿。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对于政策加分考生的录取，按照教育部规定的原则执行。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同等条件下，优先录取单科分数较高（理科类科目依次为数学、外语、语文；文科及不分文理类科目依次为外语、数学、语文）以及获得省级优秀学生、优秀学生干部、三好学生等荣誉称号的考生。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依据教育部、卫生部、中国残疾人联合颁布的《普通高等学校招生体检工作指导意见》，对考生身体健康状况进行审查和复查。对不符合标准的，按指导意见的相关规定处理。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除日语专业外，我院非英语专业的公共外语课程均为英语，小语种考生慎重填报。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根据江苏省普通高等学校招生工作相关文件及学院的实际，江苏考生进档后的排序规则采用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在内蒙古自治区根据内蒙招办规定实行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对于北京市、天津市、上海市、浙江省、山东省和海南省考生，录取时执行北京市、天津市、上海市、浙江省、山东省和海南省</w:t>
      </w:r>
      <w:r>
        <w:rPr>
          <w:rFonts w:ascii="Times New Roman" w:eastAsia="Times New Roman" w:hAnsi="Times New Roman" w:cs="Times New Roman"/>
        </w:rPr>
        <w:t>2020</w:t>
      </w:r>
      <w:r>
        <w:rPr>
          <w:rFonts w:ascii="SimSun" w:eastAsia="SimSun" w:hAnsi="SimSun" w:cs="SimSun"/>
        </w:rPr>
        <w:t>年录取工作方案相关规定。我院在以上六省市招生专业（类）对考试科目要求，综合素质档案的使用办法以当地教育招生考试部门及我院官方网站公示为准。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音乐表演（声乐演唱）、音乐表演（钢琴演奏）、作曲与作曲技术理论（计算机作曲）、视觉传达设计、环境设计、舞蹈教育六个专业参加所在省市独立学院所在艺术类批次录取；其它本科专业参加独立学院批次录取。艺术类招生录取工作按照《北京科技大学天津学院艺术类招生简章》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高水平艺术团录取工作按照相关规定和学院有关简章、办法进行。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学院在接到各省、自治区、直辖市招办核准备案的录取考生名单后寄发录取通知书。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新生入学后，学院依据《北京科技大学天津学院学籍管理办法》等规章制度进行管理；按教学计划对学生进行培养。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校办理入学手续。因故不能按期入学的，应当向学院请假，未请假或请假逾期的，除因不可抗力等正当事由以外，视为放弃入学资格。应征入伍新生，应在规定时间内办理保留入学资格手续。学院在报到时对新生入学资格进行初步审查，审查合格的办理入学手续，予以注册学籍；复查中发现学生存在弄虚作假、徇私舞弊等情形的，确定为复查不合格，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学生可在入学后根据自身情况，依据《北京科技大学天津学院校内转专业管理办法》提出转专业申请，经学院审核批准后，可转至其他专业学习。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奖学金设立：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学院设有国家奖学金：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人，天津市人民政府奖学金：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人，国家助学金及其他各类奖励。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学院设立</w:t>
      </w:r>
      <w:r>
        <w:rPr>
          <w:rFonts w:ascii="Times New Roman" w:eastAsia="Times New Roman" w:hAnsi="Times New Roman" w:cs="Times New Roman"/>
        </w:rPr>
        <w:t>“</w:t>
      </w:r>
      <w:r>
        <w:rPr>
          <w:rFonts w:ascii="SimSun" w:eastAsia="SimSun" w:hAnsi="SimSun" w:cs="SimSun"/>
        </w:rPr>
        <w:t>学院奖学金</w:t>
      </w:r>
      <w:r>
        <w:rPr>
          <w:rFonts w:ascii="Times New Roman" w:eastAsia="Times New Roman" w:hAnsi="Times New Roman" w:cs="Times New Roman"/>
        </w:rPr>
        <w:t>”</w:t>
      </w:r>
      <w:r>
        <w:rPr>
          <w:rFonts w:ascii="SimSun" w:eastAsia="SimSun" w:hAnsi="SimSun" w:cs="SimSun"/>
        </w:rPr>
        <w:t>，奖励德、智、体、美、劳全面发展的优秀学生。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符合条件的家庭经济困难学生，可向户籍所在地的学生资助管理中心或金融机构申请生源地信用助学贷款；学院每年开展家庭经济困难学生认定工作，并按照相关规定发放国家助学金；同时，学院设有勤工助学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北京科技大学天津学院全日制普通高等学校毕业证书；毕业生学士学位授予工作，按照国务院学位委员会及教育部有关规定办理。对符合《北京科技大学天津学院学士学位授予工作暂行规定》要求的毕业生，授予北京科技大学天津学院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年北京科技大学天津学院普通本科招生工作。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本章程经北京科技大学天津学院普通本科招生领导小组审查通过，报上级主管部门审核。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本章程自公布起开始执行。以前有关我院本科招生工作的政策、规定与本章程不一致的，一律废止，均以本章程规定为准。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在招生咨询过程中我院咨询人员的意见、建议仅作为考生填报志愿的参考，不属学校录取承诺。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本章程由北京科技大学天津学院招生办公室负责解释。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通信地址：天津市宝坻区京津新城珠江北环东路</w:t>
      </w:r>
      <w:r>
        <w:rPr>
          <w:rFonts w:ascii="Times New Roman" w:eastAsia="Times New Roman" w:hAnsi="Times New Roman" w:cs="Times New Roman"/>
        </w:rPr>
        <w:t>1</w:t>
      </w:r>
      <w:r>
        <w:rPr>
          <w:rFonts w:ascii="SimSun" w:eastAsia="SimSun" w:hAnsi="SimSun" w:cs="SimSun"/>
        </w:rPr>
        <w:t>号北京科技大学天津学院</w:t>
      </w:r>
      <w:r>
        <w:rPr>
          <w:rFonts w:ascii="Times New Roman" w:eastAsia="Times New Roman" w:hAnsi="Times New Roman" w:cs="Times New Roman"/>
        </w:rPr>
        <w:t xml:space="preserve">  </w:t>
      </w:r>
      <w:r>
        <w:rPr>
          <w:rFonts w:ascii="SimSun" w:eastAsia="SimSun" w:hAnsi="SimSun" w:cs="SimSun"/>
        </w:rPr>
        <w:t>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301830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022-22410960</w:t>
      </w:r>
      <w:r>
        <w:rPr>
          <w:rFonts w:ascii="SimSun" w:eastAsia="SimSun" w:hAnsi="SimSun" w:cs="SimSun"/>
        </w:rPr>
        <w:t>、</w:t>
      </w:r>
      <w:r>
        <w:rPr>
          <w:rFonts w:ascii="Times New Roman" w:eastAsia="Times New Roman" w:hAnsi="Times New Roman" w:cs="Times New Roman"/>
        </w:rPr>
        <w:t xml:space="preserve">022-22410969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http://tj.ustb.edu.cn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TJzhaosheng@ustb.edu.cn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天津工艺美术职业学院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天津城市职业学院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天津中德应用技术大学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70.html" TargetMode="External" /><Relationship Id="rId11" Type="http://schemas.openxmlformats.org/officeDocument/2006/relationships/hyperlink" Target="http://www.gk114.com/a/gxzs/zszc/tianjin/2022/0529/22569.html" TargetMode="External" /><Relationship Id="rId12" Type="http://schemas.openxmlformats.org/officeDocument/2006/relationships/hyperlink" Target="http://www.gk114.com/a/gxzs/zszc/tianjin/2022/0529/22567.html" TargetMode="External" /><Relationship Id="rId13" Type="http://schemas.openxmlformats.org/officeDocument/2006/relationships/hyperlink" Target="http://www.gk114.com/a/gxzs/zszc/tianjin/2022/0529/22566.html" TargetMode="External" /><Relationship Id="rId14" Type="http://schemas.openxmlformats.org/officeDocument/2006/relationships/hyperlink" Target="http://www.gk114.com/a/gxzs/zszc/tianjin/2022/0529/22563.html" TargetMode="External" /><Relationship Id="rId15" Type="http://schemas.openxmlformats.org/officeDocument/2006/relationships/hyperlink" Target="http://www.gk114.com/a/gxzs/zszc/tianjin/2022/0529/22562.html" TargetMode="External" /><Relationship Id="rId16" Type="http://schemas.openxmlformats.org/officeDocument/2006/relationships/hyperlink" Target="http://www.gk114.com/a/gxzs/zszc/tianjin/2022/0529/22561.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85.html" TargetMode="External" /><Relationship Id="rId5" Type="http://schemas.openxmlformats.org/officeDocument/2006/relationships/hyperlink" Target="http://www.gk114.com/a/gxzs/zszc/tianjin/2020/0621/16887.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75.html" TargetMode="External" /><Relationship Id="rId9" Type="http://schemas.openxmlformats.org/officeDocument/2006/relationships/hyperlink" Target="http://www.gk114.com/a/gxzs/zszc/tianjin/2022/0529/2257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