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学校全称为北京科技大学，是国家公办、全日制普通高等学校，是教育部直属的全国重点大学，是全国首批正式成立研究生院的高等学校之一，是首批进入国家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建设行列的高校，是首批</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优势学科创新平台建设项目试点高校。</w:t>
      </w:r>
      <w:r>
        <w:rPr>
          <w:rFonts w:ascii="Times New Roman" w:eastAsia="Times New Roman" w:hAnsi="Times New Roman" w:cs="Times New Roman"/>
        </w:rPr>
        <w:t>2017</w:t>
      </w:r>
      <w:r>
        <w:rPr>
          <w:rFonts w:ascii="SimSun" w:eastAsia="SimSun" w:hAnsi="SimSun" w:cs="SimSun"/>
        </w:rPr>
        <w:t>年，学校入选国家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本科基本学制为</w:t>
      </w:r>
      <w:r>
        <w:rPr>
          <w:rFonts w:ascii="Times New Roman" w:eastAsia="Times New Roman" w:hAnsi="Times New Roman" w:cs="Times New Roman"/>
        </w:rPr>
        <w:t>4</w:t>
      </w:r>
      <w:r>
        <w:rPr>
          <w:rFonts w:ascii="SimSun" w:eastAsia="SimSun" w:hAnsi="SimSun" w:cs="SimSun"/>
        </w:rPr>
        <w:t>年。校址及办学地点：北京市海淀区学院路</w:t>
      </w:r>
      <w:r>
        <w:rPr>
          <w:rFonts w:ascii="Times New Roman" w:eastAsia="Times New Roman" w:hAnsi="Times New Roman" w:cs="Times New Roman"/>
        </w:rPr>
        <w:t>30</w:t>
      </w:r>
      <w:r>
        <w:rPr>
          <w:rFonts w:ascii="SimSun" w:eastAsia="SimSun" w:hAnsi="SimSun" w:cs="SimSun"/>
        </w:rPr>
        <w:t>号，邮编</w:t>
      </w:r>
      <w:r>
        <w:rPr>
          <w:rFonts w:ascii="Times New Roman" w:eastAsia="Times New Roman" w:hAnsi="Times New Roman" w:cs="Times New Roman"/>
        </w:rPr>
        <w:t>100083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学校培养的本科生，在规定的年限内达到所在专业毕业要求者，颁发北京科技大学本科毕业证书；符合学校学位授予有关规定者，颁发普通高等教育本科毕业生学士学位证书。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北京科技大学招生工作全面贯彻教育部有关文件精神，本着公平、公正、公开的原则，择优录取。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科技大学本科生招生工作组织机构由本科生招生工作领导小组、本科生招生工作委员会、招生就业处三级机构组成。本科生招生工作领导小组是最高决策机构，统一领导学校本科生招生工作；本科生招生工作委员会在制定学校招生计划、确定招生政策和规则、决定招生重大事项等方面履行民主管理和监督职能；招生就业处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北京科技大学招生就业处作为学校的常设工作机构，负责学校本科生招生的日常工作。其职责是：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受权组织特殊类型招生考试工作，依据《国家教育考试违规处理办法》对违规考生进行认定、处理，并将违规事实报生源所在省级招办；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组织开展招生宣传、咨询服务工作，根据需要组建赴各省（区、市）招生组，向考生和家长介绍本校情况和招生政策；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客观、公正地完成本科生录取工作，并负责协调和处理录取工作中遇到的各种问题；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北京科技大学招生工作在学校纪检监察部门的监督下进行。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科技大学面向全国招生，按照教育部招生计划编制工作有关要求，根据本校办学条件实际情况，统筹考虑各省（区、市）考生数量、生源质量、经济社会发展需求趋势、毕业生就业状况、考生对我校各专业的认可度等因素，科学合理地确定本校来源计划。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北京科技大学招生录取工作受教育部统一领导，按照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学校普通本科层次的招生包括普通类、自主招生、高校专项计划、保送生、高水平艺术团、高水平运动队、艺术类、内地西藏班、内地新疆高中班、少数民族预科班、港澳台侨联考等。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根据生源情况，确定提档比例，对于实行平行志愿的省提档比例一般控制在当地同类招生计划数</w:t>
      </w:r>
      <w:r>
        <w:rPr>
          <w:rFonts w:ascii="Times New Roman" w:eastAsia="Times New Roman" w:hAnsi="Times New Roman" w:cs="Times New Roman"/>
        </w:rPr>
        <w:t>105%</w:t>
      </w:r>
      <w:r>
        <w:rPr>
          <w:rFonts w:ascii="SimSun" w:eastAsia="SimSun" w:hAnsi="SimSun" w:cs="SimSun"/>
        </w:rPr>
        <w:t>以内。对于实行顺序志愿的省提档比例一般控制在当地同类招生计划数</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对享受加分、降分政策的考生，按省级招办的规定加分、降分提档，安排专业时以实际考分为准。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浙江省和上海市的考生所填报的专业志愿必须符合其本省已经公布的学校</w:t>
      </w:r>
      <w:r>
        <w:rPr>
          <w:rFonts w:ascii="Times New Roman" w:eastAsia="Times New Roman" w:hAnsi="Times New Roman" w:cs="Times New Roman"/>
        </w:rPr>
        <w:t>2019</w:t>
      </w:r>
      <w:r>
        <w:rPr>
          <w:rFonts w:ascii="SimSun" w:eastAsia="SimSun" w:hAnsi="SimSun" w:cs="SimSun"/>
        </w:rPr>
        <w:t>年各招生专业（类）对学生选考科目范围的要求。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江苏省理工类考生，选测科目等级要求达到</w:t>
      </w:r>
      <w:r>
        <w:rPr>
          <w:rFonts w:ascii="Times New Roman" w:eastAsia="Times New Roman" w:hAnsi="Times New Roman" w:cs="Times New Roman"/>
        </w:rPr>
        <w:t>AB+</w:t>
      </w:r>
      <w:r>
        <w:rPr>
          <w:rFonts w:ascii="SimSun" w:eastAsia="SimSun" w:hAnsi="SimSun" w:cs="SimSun"/>
        </w:rPr>
        <w:t>及以上，且物理为必选；文史类考生，选测科目等级要求达到</w:t>
      </w:r>
      <w:r>
        <w:rPr>
          <w:rFonts w:ascii="Times New Roman" w:eastAsia="Times New Roman" w:hAnsi="Times New Roman" w:cs="Times New Roman"/>
        </w:rPr>
        <w:t>AB+</w:t>
      </w:r>
      <w:r>
        <w:rPr>
          <w:rFonts w:ascii="SimSun" w:eastAsia="SimSun" w:hAnsi="SimSun" w:cs="SimSun"/>
        </w:rPr>
        <w:t>及以上，且历史为必选；对进档的考生以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方式，结合考生的专业志愿和综合素质评价等其它指标，决定考生录取与否及所录取的专业。相同分数时，等级优先顺序依次为：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。已被学校认定的自主招生和高水平艺术团考生在达到同样等级条件时，方能享受相应的政策优惠。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按照专业志愿填报的浙江省考生，达到分数后直接录取到其所填报志愿专业。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按照学校志愿填报省份的考生（含上海市按照专业组填报），录取专业时，按投档考生的实际考分和专业志愿顺序，由高到低按</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方式依次录取，</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以最大程度满足考生专业志愿时的级差分为最终设定值，前三个专业志愿间有级差，均为</w:t>
      </w:r>
      <w:r>
        <w:rPr>
          <w:rFonts w:ascii="Times New Roman" w:eastAsia="Times New Roman" w:hAnsi="Times New Roman" w:cs="Times New Roman"/>
        </w:rPr>
        <w:t>1</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分（在内蒙古自治区实行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将进档考生按实际考分由高到低分文理分别排队，然后依次逐个安排专业）。当高考实际分数相同时，依次优先录取有政策加分、相关科目分值高的考生，相关科目分数比较顺序：文史类考生依次比较语文、文综、外语、数学；理工类考生依次比较数学、理综、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关于退档。对于实行平行志愿的省份，如果考生服从专业调剂，体检合格，学校提档后不退档。如果考生不服从专业调剂，所报专业志愿已录满情况下做退档处理。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对于非平行志愿省份，当考生所有专业志愿都无法满足时，如果考生服从专业调剂，体检合格，学校根据实际情况将其调剂到其他专业，如果其他专业已录满或考生不服从专业调剂，做退档处理。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外国语言文学类（包含英语、日语、德语）只招收外语语种为英语的考生，如所在省级招办组织外语口试，考生须参加口试且成绩合格。其它专业对外语语种不限制。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学校保送生、自主招生、高校专项计划、高水平艺术团、高水平运动队和艺术类等特殊类型招生录取工作按照教育部规定和学校有关简章、办法进行。在自主招生考核中参考学生综合素质材料。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号），及学校按要求制订的补充规定执行。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学校按照教育部有关规定及北京市物价局核定标准收取学费和住宿费。</w:t>
      </w:r>
      <w:r>
        <w:rPr>
          <w:rFonts w:ascii="Times New Roman" w:eastAsia="Times New Roman" w:hAnsi="Times New Roman" w:cs="Times New Roman"/>
        </w:rPr>
        <w:t>2019</w:t>
      </w:r>
      <w:r>
        <w:rPr>
          <w:rFonts w:ascii="SimSun" w:eastAsia="SimSun" w:hAnsi="SimSun" w:cs="SimSun"/>
        </w:rPr>
        <w:t>年学校本科生各专业学费标准为：视觉传达设计专业（艺术类）每人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学年。如果国家调整</w:t>
      </w:r>
      <w:r>
        <w:rPr>
          <w:rFonts w:ascii="Times New Roman" w:eastAsia="Times New Roman" w:hAnsi="Times New Roman" w:cs="Times New Roman"/>
        </w:rPr>
        <w:t>2019</w:t>
      </w:r>
      <w:r>
        <w:rPr>
          <w:rFonts w:ascii="SimSun" w:eastAsia="SimSun" w:hAnsi="SimSun" w:cs="SimSun"/>
        </w:rPr>
        <w:t>年学费标准，将按新标准执行。本科住宿费标准：每人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学年，收费依据为</w:t>
      </w:r>
      <w:r>
        <w:rPr>
          <w:rFonts w:ascii="Times New Roman" w:eastAsia="Times New Roman" w:hAnsi="Times New Roman" w:cs="Times New Roman"/>
        </w:rPr>
        <w:t>“</w:t>
      </w:r>
      <w:r>
        <w:rPr>
          <w:rFonts w:ascii="SimSun" w:eastAsia="SimSun" w:hAnsi="SimSun" w:cs="SimSun"/>
        </w:rPr>
        <w:t>京价（收）字【</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348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http://zhaosheng.ustb.edu.cn</w:t>
      </w: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62325294  62332893</w:t>
      </w:r>
      <w:r>
        <w:rPr>
          <w:rFonts w:ascii="SimSun" w:eastAsia="SimSun" w:hAnsi="SimSun" w:cs="SimSun"/>
        </w:rPr>
        <w:t>，传真</w:t>
      </w:r>
      <w:r>
        <w:rPr>
          <w:rFonts w:ascii="Times New Roman" w:eastAsia="Times New Roman" w:hAnsi="Times New Roman" w:cs="Times New Roman"/>
        </w:rPr>
        <w:t>: 010-82371778</w:t>
      </w:r>
      <w:r>
        <w:rPr>
          <w:rFonts w:ascii="SimSun" w:eastAsia="SimSun" w:hAnsi="SimSun" w:cs="SimSun"/>
        </w:rPr>
        <w:t>。学校纪检监察部门投诉电话：</w:t>
      </w:r>
      <w:r>
        <w:rPr>
          <w:rFonts w:ascii="Times New Roman" w:eastAsia="Times New Roman" w:hAnsi="Times New Roman" w:cs="Times New Roman"/>
        </w:rPr>
        <w:t>010-62332307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本章程由北京科技大学招生办公室负责解释。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6.html" TargetMode="External" /><Relationship Id="rId5" Type="http://schemas.openxmlformats.org/officeDocument/2006/relationships/hyperlink" Target="http://www.gk114.com/a/gxzs/zszc/beijing/2019/0615/996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