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北京科技职业学院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2019-06-15</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章程制定原则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学院结合高职教育的实际情况，在规范招生和保证招生工作能够顺利进行的前提条件下，根据《中华人民共和国教育法》、《中华人民共和国高等教育法》和教育部有关规定的要求，特制定本招生章程。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学校全称：北京科技职业学院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办学类型：普通高等职业教育</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办学层次：高职（专科）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学校校址：北京市昌平区沙河沙阳路</w:t>
      </w:r>
      <w:r>
        <w:rPr>
          <w:rFonts w:ascii="Times New Roman" w:eastAsia="Times New Roman" w:hAnsi="Times New Roman" w:cs="Times New Roman"/>
        </w:rPr>
        <w:t>18</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基本情况：北京科技职业学院是经北京市人民政府批准、国家教育部备案、具有独立颁发普通高等教育学历（高职）资格的普通高等职业院校。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组织机构与职责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招生组织机构构成及职责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、北京科技职业学院成立由学院领导和相关部门负责人组成的基地校及招生就业委员会全面落实国家有关招生政策，制定招生办法，确定招生计划，集体讨论决定重大事宜。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、北京科技职业学院招生办公室是组织和实施招生工作的常设机构，具体负责有关招生的日常工作。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、学院招生贯彻教育部</w:t>
      </w:r>
      <w:r>
        <w:rPr>
          <w:rFonts w:ascii="Times New Roman" w:eastAsia="Times New Roman" w:hAnsi="Times New Roman" w:cs="Times New Roman"/>
        </w:rPr>
        <w:t>“</w:t>
      </w:r>
      <w:r>
        <w:rPr>
          <w:rFonts w:ascii="SimSun" w:eastAsia="SimSun" w:hAnsi="SimSun" w:cs="SimSun"/>
        </w:rPr>
        <w:t>阳光高考</w:t>
      </w:r>
      <w:r>
        <w:rPr>
          <w:rFonts w:ascii="Times New Roman" w:eastAsia="Times New Roman" w:hAnsi="Times New Roman" w:cs="Times New Roman"/>
        </w:rPr>
        <w:t>”</w:t>
      </w:r>
      <w:r>
        <w:rPr>
          <w:rFonts w:ascii="SimSun" w:eastAsia="SimSun" w:hAnsi="SimSun" w:cs="SimSun"/>
        </w:rPr>
        <w:t>政策精神，接受考生、家长和社会各界的监督。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招生计划及录取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招生计划请参考年度招生简章。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、学院严格按照教育部及各省（市、自治区）有关文件规定的招生政策进行录取。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、对于实行平行志愿录取的批次，严格按照各省（市、自治区）招生规定进行录取，并遵循</w:t>
      </w:r>
      <w:r>
        <w:rPr>
          <w:rFonts w:ascii="Times New Roman" w:eastAsia="Times New Roman" w:hAnsi="Times New Roman" w:cs="Times New Roman"/>
        </w:rPr>
        <w:t>“</w:t>
      </w:r>
      <w:r>
        <w:rPr>
          <w:rFonts w:ascii="SimSun" w:eastAsia="SimSun" w:hAnsi="SimSun" w:cs="SimSun"/>
        </w:rPr>
        <w:t>分数优先</w:t>
      </w:r>
      <w:r>
        <w:rPr>
          <w:rFonts w:ascii="Times New Roman" w:eastAsia="Times New Roman" w:hAnsi="Times New Roman" w:cs="Times New Roman"/>
        </w:rPr>
        <w:t>,</w:t>
      </w:r>
      <w:r>
        <w:rPr>
          <w:rFonts w:ascii="SimSun" w:eastAsia="SimSun" w:hAnsi="SimSun" w:cs="SimSun"/>
        </w:rPr>
        <w:t>遵循志愿</w:t>
      </w:r>
      <w:r>
        <w:rPr>
          <w:rFonts w:ascii="Times New Roman" w:eastAsia="Times New Roman" w:hAnsi="Times New Roman" w:cs="Times New Roman"/>
        </w:rPr>
        <w:t>”</w:t>
      </w:r>
      <w:r>
        <w:rPr>
          <w:rFonts w:ascii="SimSun" w:eastAsia="SimSun" w:hAnsi="SimSun" w:cs="SimSun"/>
        </w:rPr>
        <w:t>的录取原则；对于未实行平行志愿录取的批次，按照考生填报学院志愿的先后顺序录取，即先录取本校第一志愿的考生，若第一志愿生源不足时，再考虑录取非一志愿考生。生源不足时，未完成计划将按照各省（市、自治区）有关规定进行征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、学院录取批次及投档比例以各省（市、自治区）招生考试主管部门公布为准。（顺序志愿投档比例一般控制在当地同类招生计划数的</w:t>
      </w:r>
      <w:r>
        <w:rPr>
          <w:rFonts w:ascii="Times New Roman" w:eastAsia="Times New Roman" w:hAnsi="Times New Roman" w:cs="Times New Roman"/>
        </w:rPr>
        <w:t>120%</w:t>
      </w:r>
      <w:r>
        <w:rPr>
          <w:rFonts w:ascii="SimSun" w:eastAsia="SimSun" w:hAnsi="SimSun" w:cs="SimSun"/>
        </w:rPr>
        <w:t>以内，平行志愿投档比例一般控制在当地招生同类计划数</w:t>
      </w:r>
      <w:r>
        <w:rPr>
          <w:rFonts w:ascii="Times New Roman" w:eastAsia="Times New Roman" w:hAnsi="Times New Roman" w:cs="Times New Roman"/>
        </w:rPr>
        <w:t>105%</w:t>
      </w:r>
      <w:r>
        <w:rPr>
          <w:rFonts w:ascii="SimSun" w:eastAsia="SimSun" w:hAnsi="SimSun" w:cs="SimSun"/>
        </w:rPr>
        <w:t>以内。）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学院按照考生志愿和分数，采取分数优先的原则，从高分到低分依次录取，录取时不设专业分数级差。当考生所有专业志愿均无法录取时，在服从专业调剂的前提下，将其调剂到录取计划未满的专业，对不服从专业调剂的考生，将予以退档。分数相同考生，按照各省（市、自治区）内排序先后为准，如未规定排序原则，学院将依次按照语文、数学、外语、综合科目的单科成绩进行排序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、对高考综合改革试点的省（市、自治区），学院按照其相关录取政策执行。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、对符合招生政策加分的考生，学院依照各省（市、自治区）招生政策执行。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、艺术类专业录取原则：对艺术类考生学院承认各省（市、自治区）的艺术专业课统考成绩（联考成绩）。艺术类专业在专业课和文化课考试成绩均上线的条件下，按照考生的文化课考试成绩从高到低依次录取。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8</w:t>
      </w:r>
      <w:r>
        <w:rPr>
          <w:rFonts w:ascii="SimSun" w:eastAsia="SimSun" w:hAnsi="SimSun" w:cs="SimSun"/>
        </w:rPr>
        <w:t>、外语考试语种要求：不限。学院各招生专业公共外语均为英语，其中旅游管理（乘务管理）、物流管理（航空运输管理）除开设公共外语英语外还开设日语课程。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9</w:t>
      </w:r>
      <w:r>
        <w:rPr>
          <w:rFonts w:ascii="SimSun" w:eastAsia="SimSun" w:hAnsi="SimSun" w:cs="SimSun"/>
        </w:rPr>
        <w:t>、男女比例要求：不限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其他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体检要求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按照《普通高等学校招生体检工作指导意见》及其补充规定严格执行。其中酒店管理（订单班）专业要求考生五官端正，女生身高不低于</w:t>
      </w:r>
      <w:r>
        <w:rPr>
          <w:rFonts w:ascii="Times New Roman" w:eastAsia="Times New Roman" w:hAnsi="Times New Roman" w:cs="Times New Roman"/>
        </w:rPr>
        <w:t>160cm</w:t>
      </w:r>
      <w:r>
        <w:rPr>
          <w:rFonts w:ascii="SimSun" w:eastAsia="SimSun" w:hAnsi="SimSun" w:cs="SimSun"/>
        </w:rPr>
        <w:t>，男生身高不低于</w:t>
      </w:r>
      <w:r>
        <w:rPr>
          <w:rFonts w:ascii="Times New Roman" w:eastAsia="Times New Roman" w:hAnsi="Times New Roman" w:cs="Times New Roman"/>
        </w:rPr>
        <w:t>170cm</w:t>
      </w:r>
      <w:r>
        <w:rPr>
          <w:rFonts w:ascii="SimSun" w:eastAsia="SimSun" w:hAnsi="SimSun" w:cs="SimSun"/>
        </w:rPr>
        <w:t>。旅游管理（乘务管理）、物流管理（航空运输管理）专业要求女生身高</w:t>
      </w:r>
      <w:r>
        <w:rPr>
          <w:rFonts w:ascii="Times New Roman" w:eastAsia="Times New Roman" w:hAnsi="Times New Roman" w:cs="Times New Roman"/>
        </w:rPr>
        <w:t>162-174cm</w:t>
      </w:r>
      <w:r>
        <w:rPr>
          <w:rFonts w:ascii="SimSun" w:eastAsia="SimSun" w:hAnsi="SimSun" w:cs="SimSun"/>
        </w:rPr>
        <w:t>，男生身高</w:t>
      </w:r>
      <w:r>
        <w:rPr>
          <w:rFonts w:ascii="Times New Roman" w:eastAsia="Times New Roman" w:hAnsi="Times New Roman" w:cs="Times New Roman"/>
        </w:rPr>
        <w:t>172-184cm</w:t>
      </w:r>
      <w:r>
        <w:rPr>
          <w:rFonts w:ascii="SimSun" w:eastAsia="SimSun" w:hAnsi="SimSun" w:cs="SimSun"/>
        </w:rPr>
        <w:t>，体态匀称，五官端正，听力正常，口齿清楚，身体无纹身，面、颈、手部无明显疤痕，男性标准体重（</w:t>
      </w:r>
      <w:r>
        <w:rPr>
          <w:rFonts w:ascii="Times New Roman" w:eastAsia="Times New Roman" w:hAnsi="Times New Roman" w:cs="Times New Roman"/>
        </w:rPr>
        <w:t>kg</w:t>
      </w:r>
      <w:r>
        <w:rPr>
          <w:rFonts w:ascii="SimSun" w:eastAsia="SimSun" w:hAnsi="SimSun" w:cs="SimSun"/>
        </w:rPr>
        <w:t>）：</w:t>
      </w:r>
      <w:r>
        <w:rPr>
          <w:rFonts w:ascii="Times New Roman" w:eastAsia="Times New Roman" w:hAnsi="Times New Roman" w:cs="Times New Roman"/>
        </w:rPr>
        <w:t>(</w:t>
      </w:r>
      <w:r>
        <w:rPr>
          <w:rFonts w:ascii="SimSun" w:eastAsia="SimSun" w:hAnsi="SimSun" w:cs="SimSun"/>
        </w:rPr>
        <w:t>身高</w:t>
      </w:r>
      <w:r>
        <w:rPr>
          <w:rFonts w:ascii="Times New Roman" w:eastAsia="Times New Roman" w:hAnsi="Times New Roman" w:cs="Times New Roman"/>
        </w:rPr>
        <w:t>cm</w:t>
      </w:r>
      <w:r>
        <w:rPr>
          <w:rFonts w:ascii="SimSun" w:eastAsia="SimSun" w:hAnsi="SimSun" w:cs="SimSun"/>
        </w:rPr>
        <w:t>－</w:t>
      </w:r>
      <w:r>
        <w:rPr>
          <w:rFonts w:ascii="Times New Roman" w:eastAsia="Times New Roman" w:hAnsi="Times New Roman" w:cs="Times New Roman"/>
        </w:rPr>
        <w:t>80)×70</w:t>
      </w:r>
      <w:r>
        <w:rPr>
          <w:rFonts w:ascii="SimSun" w:eastAsia="SimSun" w:hAnsi="SimSun" w:cs="SimSun"/>
        </w:rPr>
        <w:t>﹪，女性标准体重（</w:t>
      </w:r>
      <w:r>
        <w:rPr>
          <w:rFonts w:ascii="Times New Roman" w:eastAsia="Times New Roman" w:hAnsi="Times New Roman" w:cs="Times New Roman"/>
        </w:rPr>
        <w:t>kg</w:t>
      </w:r>
      <w:r>
        <w:rPr>
          <w:rFonts w:ascii="SimSun" w:eastAsia="SimSun" w:hAnsi="SimSun" w:cs="SimSun"/>
        </w:rPr>
        <w:t>）：</w:t>
      </w:r>
      <w:r>
        <w:rPr>
          <w:rFonts w:ascii="Times New Roman" w:eastAsia="Times New Roman" w:hAnsi="Times New Roman" w:cs="Times New Roman"/>
        </w:rPr>
        <w:t>(</w:t>
      </w:r>
      <w:r>
        <w:rPr>
          <w:rFonts w:ascii="SimSun" w:eastAsia="SimSun" w:hAnsi="SimSun" w:cs="SimSun"/>
        </w:rPr>
        <w:t>身高</w:t>
      </w:r>
      <w:r>
        <w:rPr>
          <w:rFonts w:ascii="Times New Roman" w:eastAsia="Times New Roman" w:hAnsi="Times New Roman" w:cs="Times New Roman"/>
        </w:rPr>
        <w:t>cm</w:t>
      </w:r>
      <w:r>
        <w:rPr>
          <w:rFonts w:ascii="SimSun" w:eastAsia="SimSun" w:hAnsi="SimSun" w:cs="SimSun"/>
        </w:rPr>
        <w:t>－</w:t>
      </w:r>
      <w:r>
        <w:rPr>
          <w:rFonts w:ascii="Times New Roman" w:eastAsia="Times New Roman" w:hAnsi="Times New Roman" w:cs="Times New Roman"/>
        </w:rPr>
        <w:t>70)×60</w:t>
      </w:r>
      <w:r>
        <w:rPr>
          <w:rFonts w:ascii="SimSun" w:eastAsia="SimSun" w:hAnsi="SimSun" w:cs="SimSun"/>
        </w:rPr>
        <w:t>﹪，眼球无变形，无色盲、色弱、斜视，双眼矫正视力</w:t>
      </w:r>
      <w:r>
        <w:rPr>
          <w:rFonts w:ascii="Times New Roman" w:eastAsia="Times New Roman" w:hAnsi="Times New Roman" w:cs="Times New Roman"/>
        </w:rPr>
        <w:t>C</w:t>
      </w:r>
      <w:r>
        <w:rPr>
          <w:rFonts w:ascii="SimSun" w:eastAsia="SimSun" w:hAnsi="SimSun" w:cs="SimSun"/>
        </w:rPr>
        <w:t>视力表</w:t>
      </w:r>
      <w:r>
        <w:rPr>
          <w:rFonts w:ascii="Times New Roman" w:eastAsia="Times New Roman" w:hAnsi="Times New Roman" w:cs="Times New Roman"/>
        </w:rPr>
        <w:t>1.0</w:t>
      </w:r>
      <w:r>
        <w:rPr>
          <w:rFonts w:ascii="SimSun" w:eastAsia="SimSun" w:hAnsi="SimSun" w:cs="SimSun"/>
        </w:rPr>
        <w:t>（含）以上（</w:t>
      </w:r>
      <w:r>
        <w:rPr>
          <w:rFonts w:ascii="Times New Roman" w:eastAsia="Times New Roman" w:hAnsi="Times New Roman" w:cs="Times New Roman"/>
        </w:rPr>
        <w:t>E</w:t>
      </w:r>
      <w:r>
        <w:rPr>
          <w:rFonts w:ascii="SimSun" w:eastAsia="SimSun" w:hAnsi="SimSun" w:cs="SimSun"/>
        </w:rPr>
        <w:t>视力表</w:t>
      </w:r>
      <w:r>
        <w:rPr>
          <w:rFonts w:ascii="Times New Roman" w:eastAsia="Times New Roman" w:hAnsi="Times New Roman" w:cs="Times New Roman"/>
        </w:rPr>
        <w:t>5.0</w:t>
      </w:r>
      <w:r>
        <w:rPr>
          <w:rFonts w:ascii="SimSun" w:eastAsia="SimSun" w:hAnsi="SimSun" w:cs="SimSun"/>
        </w:rPr>
        <w:t>（含）以上），无传染性疾病及各类慢性疾病，无精神病史及癫痫病史，无狐臭，无明显内外八字，无</w:t>
      </w:r>
      <w:r>
        <w:rPr>
          <w:rFonts w:ascii="Times New Roman" w:eastAsia="Times New Roman" w:hAnsi="Times New Roman" w:cs="Times New Roman"/>
        </w:rPr>
        <w:t>“X”“O”</w:t>
      </w:r>
      <w:r>
        <w:rPr>
          <w:rFonts w:ascii="SimSun" w:eastAsia="SimSun" w:hAnsi="SimSun" w:cs="SimSun"/>
        </w:rPr>
        <w:t>型腿。（相关专业详细体检要求见学院网站及年度招生简章）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报到及入学资格复查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新生入学后，学院根据教育部的有关规定将在三个月内对考生进行复查，凡不符合招生规定或有舞弊行为的考生，学院将视不同情况予以处理，直至取消入学资格。其中被酒店管理（订单班）、旅游管理（乘务管理）和物流管理（航空运输管理）专业录取的新生，学院将根据相关专业的要求对其进行面试和体检。旅游管理（乘务管理）和物流管理（航空运输管理）专业录取的新生入学前需在当地公安部门开出本人及父母的政审证明。</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按北京市物价部门核定的收费标准执行，请参考年度招生简章。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学生资助相关政策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学生享有国家各项优惠政策待遇，设立多项奖助学金制度，品学兼优者最高可获得国家奖学金、国家励志奖学金、国家助学金；同时，学院通过帮助申请国家助学贷款、企业奖助学金、提供勤工俭学岗位等措施帮助经济困难的学生顺利完成学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毕业证书颁发方法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按规定修完专业教学计划的全部课程，经考核成绩合格，颁发普通高等学校专科毕业证书。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通知书的寄发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根据最终录取结果打印</w:t>
      </w:r>
      <w:r>
        <w:rPr>
          <w:rFonts w:ascii="Times New Roman" w:eastAsia="Times New Roman" w:hAnsi="Times New Roman" w:cs="Times New Roman"/>
        </w:rPr>
        <w:t>“</w:t>
      </w:r>
      <w:r>
        <w:rPr>
          <w:rFonts w:ascii="SimSun" w:eastAsia="SimSun" w:hAnsi="SimSun" w:cs="SimSun"/>
        </w:rPr>
        <w:t>录取通知书</w:t>
      </w:r>
      <w:r>
        <w:rPr>
          <w:rFonts w:ascii="Times New Roman" w:eastAsia="Times New Roman" w:hAnsi="Times New Roman" w:cs="Times New Roman"/>
        </w:rPr>
        <w:t>”</w:t>
      </w:r>
      <w:r>
        <w:rPr>
          <w:rFonts w:ascii="SimSun" w:eastAsia="SimSun" w:hAnsi="SimSun" w:cs="SimSun"/>
        </w:rPr>
        <w:t>，并连同报到须知以邮局特快专递形式寄送给考生。如有考生通信地址有变，须来电告知，否则，因通信地址变化而导致录取通知书无法送达的，责任由考生承担。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联系电话：</w:t>
      </w:r>
      <w:r>
        <w:rPr>
          <w:rFonts w:ascii="Times New Roman" w:eastAsia="Times New Roman" w:hAnsi="Times New Roman" w:cs="Times New Roman"/>
        </w:rPr>
        <w:t xml:space="preserve"> 010</w:t>
      </w:r>
      <w:r>
        <w:rPr>
          <w:rFonts w:ascii="SimSun" w:eastAsia="SimSun" w:hAnsi="SimSun" w:cs="SimSun"/>
        </w:rPr>
        <w:t>－</w:t>
      </w:r>
      <w:r>
        <w:rPr>
          <w:rFonts w:ascii="Times New Roman" w:eastAsia="Times New Roman" w:hAnsi="Times New Roman" w:cs="Times New Roman"/>
        </w:rPr>
        <w:t>80727711</w:t>
      </w:r>
      <w:r>
        <w:rPr>
          <w:rFonts w:ascii="SimSun" w:eastAsia="SimSun" w:hAnsi="SimSun" w:cs="SimSun"/>
        </w:rPr>
        <w:t>、</w:t>
      </w:r>
      <w:r>
        <w:rPr>
          <w:rFonts w:ascii="Times New Roman" w:eastAsia="Times New Roman" w:hAnsi="Times New Roman" w:cs="Times New Roman"/>
        </w:rPr>
        <w:t xml:space="preserve">58911069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监督电话：</w:t>
      </w:r>
      <w:r>
        <w:rPr>
          <w:rFonts w:ascii="Times New Roman" w:eastAsia="Times New Roman" w:hAnsi="Times New Roman" w:cs="Times New Roman"/>
        </w:rPr>
        <w:t xml:space="preserve">010-80727715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传真：</w:t>
      </w:r>
      <w:r>
        <w:rPr>
          <w:rFonts w:ascii="Times New Roman" w:eastAsia="Times New Roman" w:hAnsi="Times New Roman" w:cs="Times New Roman"/>
        </w:rPr>
        <w:t>010</w:t>
      </w:r>
      <w:r>
        <w:rPr>
          <w:rFonts w:ascii="SimSun" w:eastAsia="SimSun" w:hAnsi="SimSun" w:cs="SimSun"/>
        </w:rPr>
        <w:t>－</w:t>
      </w:r>
      <w:r>
        <w:rPr>
          <w:rFonts w:ascii="Times New Roman" w:eastAsia="Times New Roman" w:hAnsi="Times New Roman" w:cs="Times New Roman"/>
        </w:rPr>
        <w:t xml:space="preserve">80727711 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邮编：</w:t>
      </w:r>
      <w:r>
        <w:rPr>
          <w:rFonts w:ascii="Times New Roman" w:eastAsia="Times New Roman" w:hAnsi="Times New Roman" w:cs="Times New Roman"/>
        </w:rPr>
        <w:t xml:space="preserve">102206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网址：</w:t>
      </w:r>
      <w:r>
        <w:rPr>
          <w:rFonts w:ascii="Times New Roman" w:eastAsia="Times New Roman" w:hAnsi="Times New Roman" w:cs="Times New Roman"/>
        </w:rPr>
        <w:t xml:space="preserve">zs.5aaa.com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E-mail</w:t>
      </w:r>
      <w:r>
        <w:rPr>
          <w:rFonts w:ascii="SimSun" w:eastAsia="SimSun" w:hAnsi="SimSun" w:cs="SimSun"/>
        </w:rPr>
        <w:t>：</w:t>
      </w:r>
      <w:r>
        <w:rPr>
          <w:rFonts w:ascii="Times New Roman" w:eastAsia="Times New Roman" w:hAnsi="Times New Roman" w:cs="Times New Roman"/>
        </w:rPr>
        <w:t xml:space="preserve">bkzb1997@163.com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章程解释权及执行时间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以上各项政策由北京科技职业学院招生办公室负责解释，自发布之日起执行。</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北京邮电大学世纪学院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年全日制普通本科招生章程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首都师范大学科德学院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北京理工大学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北京外国语大学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北京第二外国语学院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北京语言大学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北京经济管理职业学院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北京体育职业学院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北京艺术传媒职业学院</w:t>
        </w:r>
        <w:r>
          <w:rPr>
            <w:rFonts w:ascii="Times New Roman" w:eastAsia="Times New Roman" w:hAnsi="Times New Roman" w:cs="Times New Roman"/>
            <w:color w:val="0000EE"/>
            <w:u w:val="single" w:color="0000EE"/>
          </w:rPr>
          <w:t xml:space="preserve"> 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北京社会管理职业学院</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民政部培训中心</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北京劳动保障职业学院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6"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年北京交通运输职业学院招生章程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首都医科大学本科、高职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专科</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首都师范大学美术学院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2" w:history="1">
        <w:r>
          <w:rPr>
            <w:rFonts w:ascii="SimSun" w:eastAsia="SimSun" w:hAnsi="SimSun" w:cs="SimSun"/>
            <w:color w:val="0000EE"/>
            <w:u w:val="single" w:color="0000EE"/>
          </w:rPr>
          <w:t>北京戏曲艺术职业学院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3"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beijing/2022/1225/23941.html" TargetMode="External" /><Relationship Id="rId11" Type="http://schemas.openxmlformats.org/officeDocument/2006/relationships/hyperlink" Target="http://www.gk114.com/a/gxzs/zszc/beijing/2022/0526/22543.html" TargetMode="External" /><Relationship Id="rId12" Type="http://schemas.openxmlformats.org/officeDocument/2006/relationships/hyperlink" Target="http://www.gk114.com/a/gxzs/zszc/beijing/2022/0526/22542.html" TargetMode="External" /><Relationship Id="rId13" Type="http://schemas.openxmlformats.org/officeDocument/2006/relationships/hyperlink" Target="http://www.gk114.com/a/gxzs/zszc/beijing/2022/0526/22541.html" TargetMode="External" /><Relationship Id="rId14" Type="http://schemas.openxmlformats.org/officeDocument/2006/relationships/hyperlink" Target="http://www.gk114.com/a/gxzs/zszc/beijing/2022/0526/22540.html" TargetMode="External" /><Relationship Id="rId15" Type="http://schemas.openxmlformats.org/officeDocument/2006/relationships/hyperlink" Target="http://www.gk114.com/a/gxzs/zszc/beijing/2022/0526/22538.html" TargetMode="External" /><Relationship Id="rId16" Type="http://schemas.openxmlformats.org/officeDocument/2006/relationships/hyperlink" Target="http://www.gk114.com/a/gxzs/zszc/beijing/2022/0526/22537.html" TargetMode="External" /><Relationship Id="rId17" Type="http://schemas.openxmlformats.org/officeDocument/2006/relationships/hyperlink" Target="http://www.gk114.com/a/gxzs/zszc/beijing/2021/0616/19945.html" TargetMode="External" /><Relationship Id="rId18" Type="http://schemas.openxmlformats.org/officeDocument/2006/relationships/hyperlink" Target="http://www.gk114.com/a/gxzs/zszc/beijing/2021/0614/19926.html" TargetMode="External" /><Relationship Id="rId19" Type="http://schemas.openxmlformats.org/officeDocument/2006/relationships/hyperlink" Target="http://www.gk114.com/a/gxzs/zszc/beijing/2021/0519/19651.html" TargetMode="External" /><Relationship Id="rId2" Type="http://schemas.openxmlformats.org/officeDocument/2006/relationships/webSettings" Target="webSettings.xml" /><Relationship Id="rId20" Type="http://schemas.openxmlformats.org/officeDocument/2006/relationships/hyperlink" Target="http://www.gk114.com/a/gxzs/zszc/beijing/2021/0517/19628.html" TargetMode="External" /><Relationship Id="rId21" Type="http://schemas.openxmlformats.org/officeDocument/2006/relationships/hyperlink" Target="http://www.gk114.com/a/gxzs/zszc/beijing/2019/0221/6366.html" TargetMode="External" /><Relationship Id="rId22" Type="http://schemas.openxmlformats.org/officeDocument/2006/relationships/hyperlink" Target="http://www.gk114.com/a/gxzs/zszc/beijing/2019/0221/6367.html" TargetMode="External" /><Relationship Id="rId23" Type="http://schemas.openxmlformats.org/officeDocument/2006/relationships/hyperlink" Target="http://www.gk114.com/a/gxzs/zszc/beijing/2019/0221/6362.html" TargetMode="External" /><Relationship Id="rId24" Type="http://schemas.openxmlformats.org/officeDocument/2006/relationships/theme" Target="theme/theme1.xml" /><Relationship Id="rId25" Type="http://schemas.openxmlformats.org/officeDocument/2006/relationships/numbering" Target="numbering.xml" /><Relationship Id="rId26"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beijing/2019/0615/9935.html" TargetMode="External" /><Relationship Id="rId5" Type="http://schemas.openxmlformats.org/officeDocument/2006/relationships/hyperlink" Target="http://www.gk114.com/a/gxzs/zszc/beijing/2019/0615/9937.html" TargetMode="External" /><Relationship Id="rId6" Type="http://schemas.openxmlformats.org/officeDocument/2006/relationships/hyperlink" Target="http://www.gk114.com/a/gxzs/zszc/beijing/" TargetMode="External" /><Relationship Id="rId7" Type="http://schemas.openxmlformats.org/officeDocument/2006/relationships/hyperlink" Target="http://www.gk114.com/a/gxzs/zszc/beijing/2022/1225/23944.html" TargetMode="External" /><Relationship Id="rId8" Type="http://schemas.openxmlformats.org/officeDocument/2006/relationships/hyperlink" Target="http://www.gk114.com/a/gxzs/zszc/beijing/2022/1225/23943.html" TargetMode="External" /><Relationship Id="rId9" Type="http://schemas.openxmlformats.org/officeDocument/2006/relationships/hyperlink" Target="http://www.gk114.com/a/gxzs/zszc/beijing/2022/1225/2394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