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北京网络职业学院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w:t>
      </w:r>
      <w:r>
        <w:rPr>
          <w:rFonts w:ascii="Times New Roman" w:eastAsia="Times New Roman" w:hAnsi="Times New Roman" w:cs="Times New Roman"/>
        </w:rPr>
        <w:t>2020</w:t>
      </w:r>
      <w:r>
        <w:rPr>
          <w:rFonts w:ascii="SimSun" w:eastAsia="SimSun" w:hAnsi="SimSun" w:cs="SimSun"/>
        </w:rPr>
        <w:t>年招生工作顺利进行，切实维护学校和考生的合法权益，依据《中华人民共和国教育法》和《中华人民共和国高等教育法》等法规、国务院和北京市关于深化考试招生制度改革的实施意见文件精神以及教育部、北京市教育考试院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院校名称：北京网络职业学院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14588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学校地址：北京市房山区窦大路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102433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毕业颁证：按国家招生管理规定录取并取得我校正式学籍的学生，在校期间完成教学计划规定的理论和实践教学环节，符合毕（结）业条件者，颁发普通高等学校毕（结）业证书，并报北京市教育委员会电子注册。退学者，视具体情况发放肄业证书或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由学校领导和相关职能部门负责人、学校教师代表组成的招生委员会，全面负责贯彻执行教育部和有关省（自治区、直辖市）的招生工作政策，负责制定招生章程、招生规定和实施细则、确定招生规模和调整专业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及接受上级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学校设立由学校领导和有关人员组成的招生监督小组，设在学校教务处，对招生工作实施监督，并负责考生的信访、申诉、投诉处理工作。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学校分专业招生计划及有关要求以生源省（直辖市、自治区）考试院或者高招办公布信息为准，同时也学校网站上公布。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的录取体制，招生录取严格遵守教育部和有关省（自治区、直辖市）的相关政策和规定，以考生高考成绩为基本依据，本着公平、公正、公开的原则，综合衡量德智体美劳，择优录取。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学校根据各省招生计划和考生报考情况，确定调档比例和调档分数线。录取时，经省级招生主管部门批准，学校将根据生源状况和生源质量在相应省份适量调整招生计划。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在思想政治品德考核和身体健康状况检查合格、统考成绩达到同批录取控制分数线、符合学校投档要求的情况下，学校依据考生志愿和学校确定的录取原则择优录取。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录取专业时，考生所报专业志愿无法满足时，如果考生服从专业调剂且其他专业有计划缺额，学校根据实际情况进行专业调剂；如果其他专业已录满或考生不服从专业调剂，则作退档处理。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录取按照分专业招生计划，依据考生填报的专业志愿按总成绩从高分到低分顺序录取；未完成招生计划的专业，对服从调剂考生进行调剂录取，依旧按总成绩从高分到低分顺序录取。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学校根据经省级招办核准备案的录取考生名册填写录取通知书，加盖学校公章和院长签字章，与有关入学报到须知、资助政策办法等相关材料一并寄送被录取考生。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未被录取的考生如果对录取结果有异议，可以向学校招生监督小组提出书面申诉意见，学校招生委员会在</w:t>
      </w:r>
      <w:r>
        <w:rPr>
          <w:rFonts w:ascii="Times New Roman" w:eastAsia="Times New Roman" w:hAnsi="Times New Roman" w:cs="Times New Roman"/>
        </w:rPr>
        <w:t>5</w:t>
      </w:r>
      <w:r>
        <w:rPr>
          <w:rFonts w:ascii="SimSun" w:eastAsia="SimSun" w:hAnsi="SimSun" w:cs="SimSun"/>
        </w:rPr>
        <w:t>个工作日内将做出书面答复。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考生体检标准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被录取考生的体检标准按照教育部、卫生部、中国残疾人联合会颁布的《普通高等学校招生体检工作指导意见》（教学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号）的有关规定执行。对残障的考生，若其生活能够自理、符合所报专业要求，且达到有关录取标准的，予以正常录取。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第十七条考生被录取后，须持录取通知书，按学校要求和规定的期限到校办理入学手续。未经请假、请假未准或请假逾期者，除因不可抗力等正当事由外，视为自愿放弃入学资格。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学校在新生入学三个月内，将对学生进行政治、文化、健康等方面的复查，对发现在报名和考试过程中有弄虚作假或其他违纪违规行为的新生，将按规定取消入学资格。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国家助学贷款、奖学金、助学金等助学措施按照教育部、各省市教育行政主管部门和学校相关规定执行。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 xml:space="preserve"> 010-81303630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010-81303630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http://www.bjwlxy.org.cn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招生录取工作接受纪律监督与申诉的联系部门：招生监督小组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010-81303027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本章程经北京网络职业学院</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日院长办公会议讨论审查通过，适用于北京网络职业学院</w:t>
      </w:r>
      <w:r>
        <w:rPr>
          <w:rFonts w:ascii="Times New Roman" w:eastAsia="Times New Roman" w:hAnsi="Times New Roman" w:cs="Times New Roman"/>
        </w:rPr>
        <w:t>2020</w:t>
      </w:r>
      <w:r>
        <w:rPr>
          <w:rFonts w:ascii="SimSun" w:eastAsia="SimSun" w:hAnsi="SimSun" w:cs="SimSun"/>
        </w:rPr>
        <w:t>年普通高等学校招生工作，自公布之日起施行。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本章程由北京网络职业学院招生办公室解释。本章程若与国家和北京市的规定不一致，以国家和北京市的政策、规定为准。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22.html" TargetMode="External" /><Relationship Id="rId5" Type="http://schemas.openxmlformats.org/officeDocument/2006/relationships/hyperlink" Target="http://www.gk114.com/a/gxzs/zszc/beijing/2021/0510/1957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