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北方民族大学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年本预科招生章程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根据《中华人民共和国教育法》、《中华人民共和国高等教育法》和教育部相关政策法规，结合北方民族大学实际情况制定本章程，以确保招生工作规范有序，切实维护考生合法权益。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学校全称北方民族大学，院校国标代码</w:t>
      </w:r>
      <w:r>
        <w:rPr>
          <w:rFonts w:ascii="Times New Roman" w:eastAsia="Times New Roman" w:hAnsi="Times New Roman" w:cs="Times New Roman"/>
        </w:rPr>
        <w:t>11407</w:t>
      </w:r>
      <w:r>
        <w:rPr>
          <w:rFonts w:ascii="SimSun" w:eastAsia="SimSun" w:hAnsi="SimSun" w:cs="SimSun"/>
        </w:rPr>
        <w:t>，直属于中华人民共和国国家民族事务委员会</w:t>
      </w:r>
      <w:r>
        <w:rPr>
          <w:rFonts w:ascii="Times New Roman" w:eastAsia="Times New Roman" w:hAnsi="Times New Roman" w:cs="Times New Roman"/>
        </w:rPr>
        <w:t>(</w:t>
      </w:r>
      <w:r>
        <w:rPr>
          <w:rFonts w:ascii="SimSun" w:eastAsia="SimSun" w:hAnsi="SimSun" w:cs="SimSun"/>
        </w:rPr>
        <w:t>以下简称</w:t>
      </w:r>
      <w:r>
        <w:rPr>
          <w:rFonts w:ascii="Times New Roman" w:eastAsia="Times New Roman" w:hAnsi="Times New Roman" w:cs="Times New Roman"/>
        </w:rPr>
        <w:t>“</w:t>
      </w:r>
      <w:r>
        <w:rPr>
          <w:rFonts w:ascii="SimSun" w:eastAsia="SimSun" w:hAnsi="SimSun" w:cs="SimSun"/>
        </w:rPr>
        <w:t>国家民委</w:t>
      </w:r>
      <w:r>
        <w:rPr>
          <w:rFonts w:ascii="Times New Roman" w:eastAsia="Times New Roman" w:hAnsi="Times New Roman" w:cs="Times New Roman"/>
        </w:rPr>
        <w:t>”</w:t>
      </w:r>
      <w:r>
        <w:rPr>
          <w:rFonts w:ascii="SimSun" w:eastAsia="SimSun" w:hAnsi="SimSun" w:cs="SimSun"/>
        </w:rPr>
        <w:t>）。学校坐落于宁夏回族自治区首府银川市西夏区文昌北街</w:t>
      </w:r>
      <w:r>
        <w:rPr>
          <w:rFonts w:ascii="Times New Roman" w:eastAsia="Times New Roman" w:hAnsi="Times New Roman" w:cs="Times New Roman"/>
        </w:rPr>
        <w:t>204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学校为公办全日制多学科综合性大学，拥有博士、硕士、学士三级学位授予权。本科学制为四年，预科学制为一年。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本章程适用于我校普通本科和预科的招生工作。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组织机构和人员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北方民族大学设立由校领导、职能部门负责人、教师代表、学生代表和校友代表组成的招生工作委员会，下设本科招生领导小组，全面负责学校的本科招生工作，制定学校招生政策、招生计划，研究决定本科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北方民族大学招生办公室是学校组织和实施本科招生工作的常设机构，具体负责学校普通本科、预科招生的日常工作。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学校纪委监察处对招生工作实施全程监督，并自觉接受考生、家长和社会各界的共同监督。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按照教育部和国家民委的招生工作相关要求，学校综合考虑各省（自治区、直辖市）民族比例、考生数量、生源质量、区域发展及就业需求等因素，科学编制分省分专业计划。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预留计划数及使用原则：学校按教育部与国家民委的规定预留少量计划，预留计划数不超过计划总数的</w:t>
      </w:r>
      <w:r>
        <w:rPr>
          <w:rFonts w:ascii="Times New Roman" w:eastAsia="Times New Roman" w:hAnsi="Times New Roman" w:cs="Times New Roman"/>
        </w:rPr>
        <w:t>1%</w:t>
      </w:r>
      <w:r>
        <w:rPr>
          <w:rFonts w:ascii="SimSun" w:eastAsia="SimSun" w:hAnsi="SimSun" w:cs="SimSun"/>
        </w:rPr>
        <w:t>，用于调节各省统考上线考生生源不平衡、民族比例、人口较少民族生源等问题。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我校招生工作全面贯彻落实高校招生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要求，坚持公平竞争、公开选拔、综合评价、择优录取的原则。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学校面向全国</w:t>
      </w:r>
      <w:r>
        <w:rPr>
          <w:rFonts w:ascii="Times New Roman" w:eastAsia="Times New Roman" w:hAnsi="Times New Roman" w:cs="Times New Roman"/>
        </w:rPr>
        <w:t>31</w:t>
      </w:r>
      <w:r>
        <w:rPr>
          <w:rFonts w:ascii="SimSun" w:eastAsia="SimSun" w:hAnsi="SimSun" w:cs="SimSun"/>
        </w:rPr>
        <w:t>个省、自治区、直辖市招收包括汉族在内的各民族考生，同等条件下，少数民族考生优先录取。根据教育部、国家民委有关政策，学校普通本科类面向全国招收包括汉族在内的各民族考生，其中少数民族考生约占招生总数的</w:t>
      </w:r>
      <w:r>
        <w:rPr>
          <w:rFonts w:ascii="Times New Roman" w:eastAsia="Times New Roman" w:hAnsi="Times New Roman" w:cs="Times New Roman"/>
        </w:rPr>
        <w:t>65%</w:t>
      </w:r>
      <w:r>
        <w:rPr>
          <w:rFonts w:ascii="SimSun" w:eastAsia="SimSun" w:hAnsi="SimSun" w:cs="SimSun"/>
        </w:rPr>
        <w:t>左右，预科只招收少数民族考生。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调档比例：我校根据各省（自治区、直辖市）生源情况确定调档比例。顺序志愿投档的批次，调档比例控制在招生计划的</w:t>
      </w:r>
      <w:r>
        <w:rPr>
          <w:rFonts w:ascii="Times New Roman" w:eastAsia="Times New Roman" w:hAnsi="Times New Roman" w:cs="Times New Roman"/>
        </w:rPr>
        <w:t>120%</w:t>
      </w:r>
      <w:r>
        <w:rPr>
          <w:rFonts w:ascii="SimSun" w:eastAsia="SimSun" w:hAnsi="SimSun" w:cs="SimSun"/>
        </w:rPr>
        <w:t>以内；实行平行志愿投档的批次，调档比例控制在招生计划的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考生身体体检标准按照教育部及有关部门联合下发的《普通高等学校招生体检工作指导意见》执行。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男女比例：各专业无男女比例限制。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外语要求：我校公共外语课程开设英语、阿拉伯语、日语、德语、俄语、法语、西班牙语</w:t>
      </w:r>
      <w:r>
        <w:rPr>
          <w:rFonts w:ascii="Times New Roman" w:eastAsia="Times New Roman" w:hAnsi="Times New Roman" w:cs="Times New Roman"/>
        </w:rPr>
        <w:t>7</w:t>
      </w:r>
      <w:r>
        <w:rPr>
          <w:rFonts w:ascii="SimSun" w:eastAsia="SimSun" w:hAnsi="SimSun" w:cs="SimSun"/>
        </w:rPr>
        <w:t>个语种，以其他语种报考我校的考生应慎重；报考英语、商务英语、日语、阿拉伯语专业的考生，高考外语一般为英语，但如果高考外语考试语种与其所报外语专业语种相一致，也可报考。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学校优先录取第一志愿考生，第一志愿生源不足时录取非第一志愿考生。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学校认可经教育部同意的各省（自治区、直辖市）招生主管部门制定的加分或降分政策，并按加分或降分后的投档成绩进行择优录取。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普通本科（非艺术体育类）进档考生专业安排办法：分数优先。如果投档成绩相同时，优先录取少数民族考生；如果同为汉族或同为少数民族的考生投档成绩相同时，则对比相关考试科目后择优录取，理工类依次对比理综、数学、语文、外语成绩；文史类依次对比文综、语文、数学、外语成绩；外语类依次对比外语、语文、数学和外语口试成绩。进档考生所有专业志愿都无法满足的，若服从专业调剂，将由学校调剂到计划未完成的专业，不服从调剂的，作退档处理。（江苏省考生的学业水平选测科目等级须达</w:t>
      </w:r>
      <w:r>
        <w:rPr>
          <w:rFonts w:ascii="Times New Roman" w:eastAsia="Times New Roman" w:hAnsi="Times New Roman" w:cs="Times New Roman"/>
        </w:rPr>
        <w:t>BC</w:t>
      </w:r>
      <w:r>
        <w:rPr>
          <w:rFonts w:ascii="SimSun" w:eastAsia="SimSun" w:hAnsi="SimSun" w:cs="SimSun"/>
        </w:rPr>
        <w:t>以上，进档后按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的原则择优录取；在内蒙古自治区招生的非艺术、体育类本科专业实行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按照浙江省和上海市考试院明确的投档原则优先录取进档高分考生，考生填报志愿须符合学校公布的专业选考科目要求。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艺术类专业录取：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我校执行各省（自治区、直辖市）的艺术类专业投档规则；若未明确投档规则时我校按艺术统（联）考专业成绩排序择优进档，专业成绩相同时文化成绩高的优先录取。进档考生的省级艺术专业统（联）考成绩和高考文化课成绩须达到所在省（自治区、直辖市）艺术类本科录取控制分数线。我校对进档考生依据省级艺术统（联）考专业成绩从高到低排序依次确定录取专业，专业成绩相同时文化课成绩高的优先确定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）我校在内蒙古自治区录取美术、音乐舞蹈类艺术考生以区统考或联考的艺术类专业成绩从高分到低分排序（如专业成绩相同时对比文化课成绩择优录取）后</w:t>
      </w:r>
      <w:r>
        <w:rPr>
          <w:rFonts w:ascii="Times New Roman" w:eastAsia="Times New Roman" w:hAnsi="Times New Roman" w:cs="Times New Roman"/>
        </w:rPr>
        <w:t xml:space="preserve"> </w:t>
      </w:r>
      <w:r>
        <w:rPr>
          <w:rFonts w:ascii="SimSun" w:eastAsia="SimSun" w:hAnsi="SimSun" w:cs="SimSun"/>
        </w:rPr>
        <w:t>，分专业按照专业志愿清的原则进行录取。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）音乐表演专业分为声乐和器乐方向。音乐表演专业器乐方向考生的器乐种类须为：钢琴、手风琴、小提琴、大提琴、小号、长笛、二胡、琵琶、扬琴、萨克斯（单簧管）、古筝、竹笛、笙，其它器乐不能报考。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）报考我校舞蹈学专业，男生身高不低于</w:t>
      </w:r>
      <w:r>
        <w:rPr>
          <w:rFonts w:ascii="Times New Roman" w:eastAsia="Times New Roman" w:hAnsi="Times New Roman" w:cs="Times New Roman"/>
        </w:rPr>
        <w:t>168cm</w:t>
      </w:r>
      <w:r>
        <w:rPr>
          <w:rFonts w:ascii="SimSun" w:eastAsia="SimSun" w:hAnsi="SimSun" w:cs="SimSun"/>
        </w:rPr>
        <w:t>，女生身高不低于</w:t>
      </w:r>
      <w:r>
        <w:rPr>
          <w:rFonts w:ascii="Times New Roman" w:eastAsia="Times New Roman" w:hAnsi="Times New Roman" w:cs="Times New Roman"/>
        </w:rPr>
        <w:t>158cm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体育类专业录取办法：考生须参加所在省级招办组织的体育专业测试，且体育专业成绩和高考文化成绩须达到所在省（自治区、直辖市）体育类本科录取控制线。我校执行各省（自治区、直辖市）的体育类专业投档规则；若未明确投档规则时我校按统考专业成绩排序择优进档，专业成绩相同时文化成绩高的优先录取。对进档考生按专业成绩从高到低择优安排专业，专业成绩相同时按文化课成绩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与合肥工业大学联合培养的机械设计制造及其自动化、制药工程和食品科学与工程专业，由本校负责招生和学籍学历电子注册（注明与合肥工业大学联合培养）；培养方案由双方联合制定和实施；毕业证书和学位证书由本校颁发，注明由两校联合培养，合肥工业大学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w:t>
      </w:r>
      <w:r>
        <w:rPr>
          <w:rFonts w:ascii="Times New Roman" w:eastAsia="Times New Roman" w:hAnsi="Times New Roman" w:cs="Times New Roman"/>
        </w:rPr>
        <w:t xml:space="preserve">  </w:t>
      </w:r>
      <w:r>
        <w:rPr>
          <w:rFonts w:ascii="SimSun" w:eastAsia="SimSun" w:hAnsi="SimSun" w:cs="SimSun"/>
        </w:rPr>
        <w:t>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学校严格按照宁夏回族自治区物价局核定的收费标准收取学费、住宿费。学费、住宿费每生按学年收取，普通本科类学费按专业分为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4800</w:t>
      </w:r>
      <w:r>
        <w:rPr>
          <w:rFonts w:ascii="SimSun" w:eastAsia="SimSun" w:hAnsi="SimSun" w:cs="SimSun"/>
        </w:rPr>
        <w:t>元；艺术类动画专业学费</w:t>
      </w:r>
      <w:r>
        <w:rPr>
          <w:rFonts w:ascii="Times New Roman" w:eastAsia="Times New Roman" w:hAnsi="Times New Roman" w:cs="Times New Roman"/>
        </w:rPr>
        <w:t>8800</w:t>
      </w:r>
      <w:r>
        <w:rPr>
          <w:rFonts w:ascii="SimSun" w:eastAsia="SimSun" w:hAnsi="SimSun" w:cs="SimSun"/>
        </w:rPr>
        <w:t>元，其他艺术类专业学费</w:t>
      </w:r>
      <w:r>
        <w:rPr>
          <w:rFonts w:ascii="Times New Roman" w:eastAsia="Times New Roman" w:hAnsi="Times New Roman" w:cs="Times New Roman"/>
        </w:rPr>
        <w:t>8000</w:t>
      </w:r>
      <w:r>
        <w:rPr>
          <w:rFonts w:ascii="SimSun" w:eastAsia="SimSun" w:hAnsi="SimSun" w:cs="SimSun"/>
        </w:rPr>
        <w:t>元；预科教育学费</w:t>
      </w:r>
      <w:r>
        <w:rPr>
          <w:rFonts w:ascii="Times New Roman" w:eastAsia="Times New Roman" w:hAnsi="Times New Roman" w:cs="Times New Roman"/>
        </w:rPr>
        <w:t>2500</w:t>
      </w:r>
      <w:r>
        <w:rPr>
          <w:rFonts w:ascii="SimSun" w:eastAsia="SimSun" w:hAnsi="SimSun" w:cs="SimSun"/>
        </w:rPr>
        <w:t>元；住宿费标准为</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学校将在三个月内进行全面复查，并组织专家对艺术、体育类专业新生进行专业复测。经复查或复测不合格者，学校将视不同情况予以处理，直至取消入学资格。凡发现弄虚作假者，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录取结果公布：考生可通过省级招生部门的招生信息网和北方民族大学招生网查询录取情况，被录取考生由学校通过邮政</w:t>
      </w:r>
      <w:r>
        <w:rPr>
          <w:rFonts w:ascii="Times New Roman" w:eastAsia="Times New Roman" w:hAnsi="Times New Roman" w:cs="Times New Roman"/>
        </w:rPr>
        <w:t>EMS</w:t>
      </w:r>
      <w:r>
        <w:rPr>
          <w:rFonts w:ascii="SimSun" w:eastAsia="SimSun" w:hAnsi="SimSun" w:cs="SimSun"/>
        </w:rPr>
        <w:t>寄送录取通知书。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新生入学报名时，学校为家庭经济困难学生设有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。入学之后，学校通过各类奖</w:t>
      </w:r>
      <w:r>
        <w:rPr>
          <w:rFonts w:ascii="Times New Roman" w:eastAsia="Times New Roman" w:hAnsi="Times New Roman" w:cs="Times New Roman"/>
        </w:rPr>
        <w:t>(</w:t>
      </w:r>
      <w:r>
        <w:rPr>
          <w:rFonts w:ascii="SimSun" w:eastAsia="SimSun" w:hAnsi="SimSun" w:cs="SimSun"/>
        </w:rPr>
        <w:t>助</w:t>
      </w:r>
      <w:r>
        <w:rPr>
          <w:rFonts w:ascii="Times New Roman" w:eastAsia="Times New Roman" w:hAnsi="Times New Roman" w:cs="Times New Roman"/>
        </w:rPr>
        <w:t>)</w:t>
      </w:r>
      <w:r>
        <w:rPr>
          <w:rFonts w:ascii="SimSun" w:eastAsia="SimSun" w:hAnsi="SimSun" w:cs="SimSun"/>
        </w:rPr>
        <w:t>学金、国家助学贷款、勤工助学、临时困难补助、社会资助等方式，帮助家庭经济困难的学生顺利完成学业。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学历学位证书种类：毕业证书、学士学位证书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颁发学历学位证书学校名称：北方民族大学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联系地址：宁夏银川市西夏区文昌北街</w:t>
      </w:r>
      <w:r>
        <w:rPr>
          <w:rFonts w:ascii="Times New Roman" w:eastAsia="Times New Roman" w:hAnsi="Times New Roman" w:cs="Times New Roman"/>
        </w:rPr>
        <w:t>204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北方民族大学招生办公室</w:t>
      </w: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750021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联系电话：（</w:t>
      </w:r>
      <w:r>
        <w:rPr>
          <w:rFonts w:ascii="Times New Roman" w:eastAsia="Times New Roman" w:hAnsi="Times New Roman" w:cs="Times New Roman"/>
        </w:rPr>
        <w:t>0951</w:t>
      </w:r>
      <w:r>
        <w:rPr>
          <w:rFonts w:ascii="SimSun" w:eastAsia="SimSun" w:hAnsi="SimSun" w:cs="SimSun"/>
        </w:rPr>
        <w:t>）</w:t>
      </w:r>
      <w:r>
        <w:rPr>
          <w:rFonts w:ascii="Times New Roman" w:eastAsia="Times New Roman" w:hAnsi="Times New Roman" w:cs="Times New Roman"/>
        </w:rPr>
        <w:t xml:space="preserve">2066992   2066335  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传真：（</w:t>
      </w:r>
      <w:r>
        <w:rPr>
          <w:rFonts w:ascii="Times New Roman" w:eastAsia="Times New Roman" w:hAnsi="Times New Roman" w:cs="Times New Roman"/>
        </w:rPr>
        <w:t>0951</w:t>
      </w:r>
      <w:r>
        <w:rPr>
          <w:rFonts w:ascii="SimSun" w:eastAsia="SimSun" w:hAnsi="SimSun" w:cs="SimSun"/>
        </w:rPr>
        <w:t>）</w:t>
      </w:r>
      <w:r>
        <w:rPr>
          <w:rFonts w:ascii="Times New Roman" w:eastAsia="Times New Roman" w:hAnsi="Times New Roman" w:cs="Times New Roman"/>
        </w:rPr>
        <w:t xml:space="preserve">  2066992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电子信箱：</w:t>
      </w:r>
      <w:r>
        <w:rPr>
          <w:rFonts w:ascii="Times New Roman" w:eastAsia="Times New Roman" w:hAnsi="Times New Roman" w:cs="Times New Roman"/>
        </w:rPr>
        <w:t xml:space="preserve">bfmdzs@nun.edu.cn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北方民族大学招生网址：</w:t>
      </w:r>
      <w:r>
        <w:rPr>
          <w:rFonts w:ascii="Times New Roman" w:eastAsia="Times New Roman" w:hAnsi="Times New Roman" w:cs="Times New Roman"/>
        </w:rPr>
        <w:t xml:space="preserve">http://zb.nun.edu.cn/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银川能源学院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宁夏民族职业技术学院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北方民族大学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中国矿业大学银川学院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宁夏医科大学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5/22412.html" TargetMode="External" /><Relationship Id="rId11" Type="http://schemas.openxmlformats.org/officeDocument/2006/relationships/hyperlink" Target="http://www.gk114.com/a/gxzs/zszc/ningxia/2020/0618/16858.html" TargetMode="External" /><Relationship Id="rId12" Type="http://schemas.openxmlformats.org/officeDocument/2006/relationships/hyperlink" Target="http://www.gk114.com/a/gxzs/zszc/ningxia/2020/0618/16855.html" TargetMode="External" /><Relationship Id="rId13" Type="http://schemas.openxmlformats.org/officeDocument/2006/relationships/hyperlink" Target="http://www.gk114.com/a/gxzs/zszc/ningxia/2020/0618/16853.html" TargetMode="External" /><Relationship Id="rId14" Type="http://schemas.openxmlformats.org/officeDocument/2006/relationships/hyperlink" Target="http://www.gk114.com/a/gxzs/zszc/ningxia/2020/0618/16852.html" TargetMode="External" /><Relationship Id="rId15" Type="http://schemas.openxmlformats.org/officeDocument/2006/relationships/hyperlink" Target="http://www.gk114.com/a/gxzs/zszc/ningxia/2019/0514/8949.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19/0303/7075.html" TargetMode="External" /><Relationship Id="rId5" Type="http://schemas.openxmlformats.org/officeDocument/2006/relationships/hyperlink" Target="http://www.gk114.com/a/gxzs/zszc/ningxia/2019/0303/7077.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5/22417.html" TargetMode="External" /><Relationship Id="rId9" Type="http://schemas.openxmlformats.org/officeDocument/2006/relationships/hyperlink" Target="http://www.gk114.com/a/gxzs/zszc/ningxia/2022/0515/224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