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华北理工大学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学校名称为华北理工大学，英文名称：</w:t>
      </w:r>
      <w:r>
        <w:rPr>
          <w:rFonts w:ascii="Times New Roman" w:eastAsia="Times New Roman" w:hAnsi="Times New Roman" w:cs="Times New Roman"/>
        </w:rPr>
        <w:t>North China University of Science and Technology</w:t>
      </w:r>
      <w:r>
        <w:rPr>
          <w:rFonts w:ascii="SimSun" w:eastAsia="SimSun" w:hAnsi="SimSun" w:cs="SimSun"/>
        </w:rPr>
        <w:t>。学校代码：</w:t>
      </w:r>
      <w:r>
        <w:rPr>
          <w:rFonts w:ascii="Times New Roman" w:eastAsia="Times New Roman" w:hAnsi="Times New Roman" w:cs="Times New Roman"/>
        </w:rPr>
        <w:t>10081</w:t>
      </w:r>
      <w:r>
        <w:rPr>
          <w:rFonts w:ascii="SimSun" w:eastAsia="SimSun" w:hAnsi="SimSun" w:cs="SimSun"/>
        </w:rPr>
        <w:t>，办学层次：普通本科，办学类型：公办全日制普通高等学校。校址：河北省唐山市曹妃甸新城渤海大道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为保证学校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工作的顺利进行，进一步提高生源质量，依法维护学校和考生的权益，根据《中华人民共和国教育法》、《中华人民共和国高等教育法》、教育部及河北省的有关规定，结合学校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隶属河北省教育厅，是省属重点骨干大学，为河北省人民政府与国家安全生产监督管理总局、河北省人民政府与国防科技工业局共建高校。学校是一所以工、医为主，理、经、管、文、法、艺多学科协调发展，具有留学生教育、研究生教育、本科教育、专科教育、继续教育等多种办学层次和类型的多科性大学。学校现有</w:t>
      </w:r>
      <w:r>
        <w:rPr>
          <w:rFonts w:ascii="Times New Roman" w:eastAsia="Times New Roman" w:hAnsi="Times New Roman" w:cs="Times New Roman"/>
        </w:rPr>
        <w:t>94</w:t>
      </w:r>
      <w:r>
        <w:rPr>
          <w:rFonts w:ascii="SimSun" w:eastAsia="SimSun" w:hAnsi="SimSun" w:cs="SimSun"/>
        </w:rPr>
        <w:t>个本科专业，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SimSun" w:eastAsia="SimSun" w:hAnsi="SimSun" w:cs="SimSun"/>
        </w:rPr>
        <w:t>个博士后科研流动站，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个博士学位授权一级学科，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个硕士学位授权一级学科，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个专业学位授权类别，并具有推荐优秀应届本科毕业生免试攻读硕士学位研究生资格。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学校成立招生工作领导小组，招生工作的重大问题由招生工作领导小组讨论决定。招生工作领导小组下设办公室，负责招生工作的具体组织实施。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学校成立招生工作监察领导小组，负责招生工作的监察，接受社会监督，切实保障考生合法权益。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学校录取原则以考生高考成绩为依据，德、智、体、美全面衡量，择优录取。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实行平行志愿投档的省份或批次，学校按平行志愿政策录取；对于非平行志愿投档的省份或批次，学校优先录取院校志愿中第一志愿为华北理工大学的考生，在第一志愿生源不足的情况下，再依次考虑其它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学校调阅考生档案比例一般不超过</w:t>
      </w:r>
      <w:r>
        <w:rPr>
          <w:rFonts w:ascii="Times New Roman" w:eastAsia="Times New Roman" w:hAnsi="Times New Roman" w:cs="Times New Roman"/>
        </w:rPr>
        <w:t>120</w:t>
      </w:r>
      <w:r>
        <w:rPr>
          <w:rFonts w:ascii="SimSun" w:eastAsia="SimSun" w:hAnsi="SimSun" w:cs="SimSun"/>
        </w:rPr>
        <w:t>％，对进档考生的专业安排采用分数优先的原则。考生专业志愿无法满足，服从专业调剂者，将由学校调剂到其它专业；不服从调剂者，作退档处理。成绩相同情况下，理科录取依次以数学、语文、外语成绩的高低为录取顺序，文科录取依次以语文、数学、外语成绩的高低为录取顺序。在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录取规则。江苏省考生实行先分数后等级录取规则，选测科目和等级按照招生计划中公布内容为准。浙江、上海按两地最新政策执行。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对于加分和降分投档的考生，学校均按投档成绩分数对待。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美术类专业录取原则：河北省、山东省、辽宁省美术类专业录取原则为：考生高考文化课成绩及专业省联考成绩达到相应批次省控线，按专业省联考成绩从高到低录取，专业省联考成绩相同时，文化课成绩高者优先录取，若文化课成绩仍相同，则按语、数、外单科成绩先后排序录取。其它省美术类专业录取原则为：考生在获得所在省份相应层次艺术类统考合格证后，参加我校在该省举办的艺术类校考并取得合格证，在上述考生范围内，对于达到该省相应批次艺术类文化控制分数线者，依据我校测试的专业课成绩按分数优先的原则进行录取，专业课成绩相同者，文化课成绩高者优先录取，若文化课成绩仍相同，则按语、数、外单科成绩先后排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考生类别、各专业录取要求、学费及学历证书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2018</w:t>
      </w:r>
      <w:r>
        <w:rPr>
          <w:rFonts w:ascii="SimSun" w:eastAsia="SimSun" w:hAnsi="SimSun" w:cs="SimSun"/>
        </w:rPr>
        <w:t>年学校招生对象为：普通高考考生。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按专业大类招生的专业，基础课程学完后按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考核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的原则进行专业分流。建筑学专业的考生要求有美术基础，入学后进行加试，不合格者，按学校相关规定进行调整。护理学专业要求女生身高</w:t>
      </w:r>
      <w:r>
        <w:rPr>
          <w:rFonts w:ascii="Times New Roman" w:eastAsia="Times New Roman" w:hAnsi="Times New Roman" w:cs="Times New Roman"/>
        </w:rPr>
        <w:t>1.55m</w:t>
      </w:r>
      <w:r>
        <w:rPr>
          <w:rFonts w:ascii="SimSun" w:eastAsia="SimSun" w:hAnsi="SimSun" w:cs="SimSun"/>
        </w:rPr>
        <w:t>以上、男生身高</w:t>
      </w:r>
      <w:r>
        <w:rPr>
          <w:rFonts w:ascii="Times New Roman" w:eastAsia="Times New Roman" w:hAnsi="Times New Roman" w:cs="Times New Roman"/>
        </w:rPr>
        <w:t>1.65m</w:t>
      </w:r>
      <w:r>
        <w:rPr>
          <w:rFonts w:ascii="SimSun" w:eastAsia="SimSun" w:hAnsi="SimSun" w:cs="SimSun"/>
        </w:rPr>
        <w:t>以上；口腔医学专业不招收惯用左手的考生。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除特别注明外，学校各专业对外语语种及男女比例没有要求，但由于小语种考生在入学后难以为其安排外语教学，故希望非英语语种考生亦有较好的英语基础。报考英语专业的考生，原则上英语成绩要在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分以上。中外合作办学专业，采用</w:t>
      </w:r>
      <w:r>
        <w:rPr>
          <w:rFonts w:ascii="Times New Roman" w:eastAsia="Times New Roman" w:hAnsi="Times New Roman" w:cs="Times New Roman"/>
        </w:rPr>
        <w:t>3+1</w:t>
      </w:r>
      <w:r>
        <w:rPr>
          <w:rFonts w:ascii="SimSun" w:eastAsia="SimSun" w:hAnsi="SimSun" w:cs="SimSun"/>
        </w:rPr>
        <w:t>学习模式，第一阶段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年在我校学习，第二阶段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年在合作院校学习。具体要求按学校合作办学项目实施办法执行。中外合作办学专业不招收无志愿考生。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各专业对考生的身体状况要求以《普通高等学校招生体检工作指导意见》为准。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2018</w:t>
      </w:r>
      <w:r>
        <w:rPr>
          <w:rFonts w:ascii="SimSun" w:eastAsia="SimSun" w:hAnsi="SimSun" w:cs="SimSun"/>
        </w:rPr>
        <w:t>年学校在各个省、自治区、直辖市的分专业招生计划及要求详见各省招办公布的我校招生计划。按教育部有关规定，我校将预留不超过本科招生计划总数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的计划，用于调节各地统考上线生源的不平衡。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学校中外合作办学专业（电气工程及其自动化、机械设计制造及其自动化）国内就读期间学费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人（国外就读期间学费约为</w:t>
      </w:r>
      <w:r>
        <w:rPr>
          <w:rFonts w:ascii="Times New Roman" w:eastAsia="Times New Roman" w:hAnsi="Times New Roman" w:cs="Times New Roman"/>
        </w:rPr>
        <w:t>9500</w:t>
      </w:r>
      <w:r>
        <w:rPr>
          <w:rFonts w:ascii="SimSun" w:eastAsia="SimSun" w:hAnsi="SimSun" w:cs="SimSun"/>
        </w:rPr>
        <w:t>欧元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人，年度学费标准按国外办学机构标准执行）；本科专业学费待定，以省物价部门批准的标准执行；专科专业学费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人。住宿费标准为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学生在学校规定期限内达到所在专业毕业要求，由学校颁发经教育部电子注册、国家承认学历的本、专科学历证书（证书种类为普通高等教育毕业证书）；对达到学士学位要求的学生颁发学士学位证书。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学校中外合作办学专业学生毕业时达到相关要求，可获得华北理工大学本科毕业证书、学士学位证书和德国海德堡应用技术大学学士学位证书（</w:t>
      </w:r>
      <w:r>
        <w:rPr>
          <w:rFonts w:ascii="Times New Roman" w:eastAsia="Times New Roman" w:hAnsi="Times New Roman" w:cs="Times New Roman"/>
        </w:rPr>
        <w:t>Bachelor Degree Certificate of Heidelberg University of Applied Science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各省专业志愿设置及投档方式以各省招生办规定为准。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各省录取结束后，招生就业处将及时通过学校校园网公布录取结果，最终结果以各省招办公布的录取结果为准。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新生报到后，学校要进行新生入学资格和身体复查，对于弄虚作假、不符合录取条件的将取消入学资格。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本章程解释权归华北理工大学招生就业处。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http://www.ncst.edu.cn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 mail: zsb@ncst.edu.cn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0315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8816666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河北建筑工程学院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华北科技学院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河北经贸大学（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华北科技学院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唐山学院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石家庄铁道大学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邢台学院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19/0221/6416.html" TargetMode="External" /><Relationship Id="rId11" Type="http://schemas.openxmlformats.org/officeDocument/2006/relationships/hyperlink" Target="http://www.gk114.com/a/gxzs/zszc/hebei/2019/0221/6415.html" TargetMode="External" /><Relationship Id="rId12" Type="http://schemas.openxmlformats.org/officeDocument/2006/relationships/hyperlink" Target="http://www.gk114.com/a/gxzs/zszc/hebei/2019/0221/6414.html" TargetMode="External" /><Relationship Id="rId13" Type="http://schemas.openxmlformats.org/officeDocument/2006/relationships/hyperlink" Target="http://www.gk114.com/a/gxzs/zszc/hebei/2019/0221/6413.html" TargetMode="External" /><Relationship Id="rId14" Type="http://schemas.openxmlformats.org/officeDocument/2006/relationships/hyperlink" Target="http://www.gk114.com/a/gxzs/zszc/hebei/2019/0221/6412.html" TargetMode="External" /><Relationship Id="rId15" Type="http://schemas.openxmlformats.org/officeDocument/2006/relationships/hyperlink" Target="http://www.gk114.com/a/gxzs/zszc/hebei/2019/0221/6411.html" TargetMode="External" /><Relationship Id="rId16" Type="http://schemas.openxmlformats.org/officeDocument/2006/relationships/hyperlink" Target="http://www.gk114.com/a/gxzs/zszc/hebei/2019/0221/6410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221/6395.html" TargetMode="External" /><Relationship Id="rId5" Type="http://schemas.openxmlformats.org/officeDocument/2006/relationships/hyperlink" Target="http://www.gk114.com/a/gxzs/zszc/hebei/2019/0221/6397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19/0514/8925.html" TargetMode="External" /><Relationship Id="rId8" Type="http://schemas.openxmlformats.org/officeDocument/2006/relationships/hyperlink" Target="http://www.gk114.com/a/gxzs/zszc/hebei/2019/0221/6418.html" TargetMode="External" /><Relationship Id="rId9" Type="http://schemas.openxmlformats.org/officeDocument/2006/relationships/hyperlink" Target="http://www.gk114.com/a/gxzs/zszc/hebei/2019/0221/64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