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华北电力大学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华北电力大学普通本科招生工作的顺利进行，规范招生行为，切实维护学校和考生的合法权益，根据《中华人民共和国教育法》、《中华人民共和国高等教育法》等相关法律和教育部有关规定，结合我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学校名称：华北电力大学，英文名称：</w:t>
      </w:r>
      <w:r>
        <w:rPr>
          <w:rFonts w:ascii="Times New Roman" w:eastAsia="Times New Roman" w:hAnsi="Times New Roman" w:cs="Times New Roman"/>
        </w:rPr>
        <w:t>North China Electric Power University</w:t>
      </w:r>
      <w:r>
        <w:rPr>
          <w:rFonts w:ascii="SimSun" w:eastAsia="SimSun" w:hAnsi="SimSun" w:cs="SimSun"/>
        </w:rPr>
        <w:t>。上级主管部门：中华人民共和国教育部。学校校部设在北京，分设保定校区，两地实行实质性一体化管理。北京校部办学地址：北京市昌平区回龙观镇北农路</w:t>
      </w:r>
      <w:r>
        <w:rPr>
          <w:rFonts w:ascii="Times New Roman" w:eastAsia="Times New Roman" w:hAnsi="Times New Roman" w:cs="Times New Roman"/>
        </w:rPr>
        <w:t>2</w:t>
      </w:r>
      <w:r>
        <w:rPr>
          <w:rFonts w:ascii="SimSun" w:eastAsia="SimSun" w:hAnsi="SimSun" w:cs="SimSun"/>
        </w:rPr>
        <w:t>号；保定校区办学地址：河北省保定市莲池区华电路</w:t>
      </w:r>
      <w:r>
        <w:rPr>
          <w:rFonts w:ascii="Times New Roman" w:eastAsia="Times New Roman" w:hAnsi="Times New Roman" w:cs="Times New Roman"/>
        </w:rPr>
        <w:t>689</w:t>
      </w:r>
      <w:r>
        <w:rPr>
          <w:rFonts w:ascii="SimSun" w:eastAsia="SimSun" w:hAnsi="SimSun" w:cs="SimSun"/>
        </w:rPr>
        <w:t>号。办学层次及类型：公办本科、全日制普通高等学校，教育部直属大学、国家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“985</w:t>
      </w:r>
      <w:r>
        <w:rPr>
          <w:rFonts w:ascii="SimSun" w:eastAsia="SimSun" w:hAnsi="SimSun" w:cs="SimSun"/>
        </w:rPr>
        <w:t>工程优势学科创新平台</w:t>
      </w:r>
      <w:r>
        <w:rPr>
          <w:rFonts w:ascii="Times New Roman" w:eastAsia="Times New Roman" w:hAnsi="Times New Roman" w:cs="Times New Roman"/>
        </w:rPr>
        <w:t>”</w:t>
      </w:r>
      <w:r>
        <w:rPr>
          <w:rFonts w:ascii="SimSun" w:eastAsia="SimSun" w:hAnsi="SimSun" w:cs="SimSun"/>
        </w:rPr>
        <w:t>高校，学校进入国家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建设高校行列，重点建设</w:t>
      </w:r>
      <w:r>
        <w:rPr>
          <w:rFonts w:ascii="Times New Roman" w:eastAsia="Times New Roman" w:hAnsi="Times New Roman" w:cs="Times New Roman"/>
        </w:rPr>
        <w:t>“</w:t>
      </w:r>
      <w:r>
        <w:rPr>
          <w:rFonts w:ascii="SimSun" w:eastAsia="SimSun" w:hAnsi="SimSun" w:cs="SimSun"/>
        </w:rPr>
        <w:t>能源电力科学与工程</w:t>
      </w:r>
      <w:r>
        <w:rPr>
          <w:rFonts w:ascii="Times New Roman" w:eastAsia="Times New Roman" w:hAnsi="Times New Roman" w:cs="Times New Roman"/>
        </w:rPr>
        <w:t>”</w:t>
      </w:r>
      <w:r>
        <w:rPr>
          <w:rFonts w:ascii="SimSun" w:eastAsia="SimSun" w:hAnsi="SimSun" w:cs="SimSun"/>
        </w:rPr>
        <w:t>学科群，现由国家电网有限公司、中国南方电网有限责任公司、中国华能集团有限公司、中国大唐集团有限公司、中国华电集团有限公司、国家能源投资集团有限责任公司、国家电力投资集团有限公司、中国长江三峡集团有限公司、中国广核集团有限公司、中国电力建设集团有限公司、中国能源建设集团有限公司、广东省能源集团有限公司等</w:t>
      </w:r>
      <w:r>
        <w:rPr>
          <w:rFonts w:ascii="Times New Roman" w:eastAsia="Times New Roman" w:hAnsi="Times New Roman" w:cs="Times New Roman"/>
        </w:rPr>
        <w:t>12</w:t>
      </w:r>
      <w:r>
        <w:rPr>
          <w:rFonts w:ascii="SimSun" w:eastAsia="SimSun" w:hAnsi="SimSun" w:cs="SimSun"/>
        </w:rPr>
        <w:t>家特大型电力集团和中国电力企业联合会组成的理事会与教育部共建。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w:t>
      </w:r>
      <w:r>
        <w:rPr>
          <w:rFonts w:ascii="SimSun" w:eastAsia="SimSun" w:hAnsi="SimSun" w:cs="SimSun"/>
        </w:rPr>
        <w:t>学校为在规定年限内达到所在专业毕业要求者，颁发华北电力大学普通高等教育学历证书，对符合学位授予条件者，颁发华北电力大学学士学位证书。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华北电力大学招生工作将全面贯彻教育部有关文件精神，本着公平、公正、公开的原则，综合衡量考生德、智、体、美、劳，择优录取。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华北电力大学组建招生委员会。招生委员会由校长担任主任，成员由相关部门负责人、师生代表、校友代表等组成，在制订学校招生计划、确定招生政策和规则、决定招生重大事项等方面充分发挥民主管理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学校成立招生工作领导小组，由校长担任组长，学生处、教务处等部门负责人任组员，全面负责学校普通本科招生工作，协调处理招生工作中的重大问题。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华北电力大学招生办公室作为学校的常设工作机构，负责学校本科生招生的日常工作。其职责是：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学校根据学校发展规划、办学条件、人才市场需求、学科发展等因素制定年度招生事业计划，报教育部审批。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学校根据教育部下达的招生事业计划，本着</w:t>
      </w:r>
      <w:r>
        <w:rPr>
          <w:rFonts w:ascii="Times New Roman" w:eastAsia="Times New Roman" w:hAnsi="Times New Roman" w:cs="Times New Roman"/>
        </w:rPr>
        <w:t>“</w:t>
      </w:r>
      <w:r>
        <w:rPr>
          <w:rFonts w:ascii="SimSun" w:eastAsia="SimSun" w:hAnsi="SimSun" w:cs="SimSun"/>
        </w:rPr>
        <w:t>科学、稳定和教育资源公平分配</w:t>
      </w:r>
      <w:r>
        <w:rPr>
          <w:rFonts w:ascii="Times New Roman" w:eastAsia="Times New Roman" w:hAnsi="Times New Roman" w:cs="Times New Roman"/>
        </w:rPr>
        <w:t>”</w:t>
      </w:r>
      <w:r>
        <w:rPr>
          <w:rFonts w:ascii="SimSun" w:eastAsia="SimSun" w:hAnsi="SimSun" w:cs="SimSun"/>
        </w:rPr>
        <w:t>的原则，综合考虑地域、生源质量、专业分配结构以及各省（自治区、直辖市）高考报名人数等因素，在参考往年分省招生计划的基础上，制定学校分省分专业招生计划，报教育部审批备案。学校将招生计划总数的</w:t>
      </w:r>
      <w:r>
        <w:rPr>
          <w:rFonts w:ascii="Times New Roman" w:eastAsia="Times New Roman" w:hAnsi="Times New Roman" w:cs="Times New Roman"/>
        </w:rPr>
        <w:t>1%</w:t>
      </w:r>
      <w:r>
        <w:rPr>
          <w:rFonts w:ascii="SimSun" w:eastAsia="SimSun" w:hAnsi="SimSun" w:cs="SimSun"/>
        </w:rPr>
        <w:t>作为预留计划，用于调节各地统考上线生源的不平衡。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鉴于我校</w:t>
      </w:r>
      <w:r>
        <w:rPr>
          <w:rFonts w:ascii="Times New Roman" w:eastAsia="Times New Roman" w:hAnsi="Times New Roman" w:cs="Times New Roman"/>
        </w:rPr>
        <w:t>“</w:t>
      </w:r>
      <w:r>
        <w:rPr>
          <w:rFonts w:ascii="SimSun" w:eastAsia="SimSun" w:hAnsi="SimSun" w:cs="SimSun"/>
        </w:rPr>
        <w:t>一所大学、两地办学</w:t>
      </w:r>
      <w:r>
        <w:rPr>
          <w:rFonts w:ascii="Times New Roman" w:eastAsia="Times New Roman" w:hAnsi="Times New Roman" w:cs="Times New Roman"/>
        </w:rPr>
        <w:t>”</w:t>
      </w:r>
      <w:r>
        <w:rPr>
          <w:rFonts w:ascii="SimSun" w:eastAsia="SimSun" w:hAnsi="SimSun" w:cs="SimSun"/>
        </w:rPr>
        <w:t>的实际情况，考生应按华北电力大学（部标代码：</w:t>
      </w:r>
      <w:r>
        <w:rPr>
          <w:rFonts w:ascii="Times New Roman" w:eastAsia="Times New Roman" w:hAnsi="Times New Roman" w:cs="Times New Roman"/>
        </w:rPr>
        <w:t>10054</w:t>
      </w:r>
      <w:r>
        <w:rPr>
          <w:rFonts w:ascii="SimSun" w:eastAsia="SimSun" w:hAnsi="SimSun" w:cs="SimSun"/>
        </w:rPr>
        <w:t>）和华北电力大学（保定）（部标代码：</w:t>
      </w:r>
      <w:r>
        <w:rPr>
          <w:rFonts w:ascii="Times New Roman" w:eastAsia="Times New Roman" w:hAnsi="Times New Roman" w:cs="Times New Roman"/>
        </w:rPr>
        <w:t>10079</w:t>
      </w:r>
      <w:r>
        <w:rPr>
          <w:rFonts w:ascii="SimSun" w:eastAsia="SimSun" w:hAnsi="SimSun" w:cs="SimSun"/>
        </w:rPr>
        <w:t>）的招生计划分别报考，北京校部和保定校区分别录取。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学校以英语作为基础外语安排教学。我校招生专业类中，外国语言文学类、计算机类、自动化类、电子信息类、经济学类由于专业类培养与英语密切相关，建议非英语考生慎重报考。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实行顺序志愿的省份</w:t>
      </w:r>
      <w:r>
        <w:rPr>
          <w:rFonts w:ascii="Times New Roman" w:eastAsia="Times New Roman" w:hAnsi="Times New Roman" w:cs="Times New Roman"/>
        </w:rPr>
        <w:t>,</w:t>
      </w:r>
      <w:r>
        <w:rPr>
          <w:rFonts w:ascii="SimSun" w:eastAsia="SimSun" w:hAnsi="SimSun" w:cs="SimSun"/>
        </w:rPr>
        <w:t>学校调阅考生档案的比例控制在</w:t>
      </w:r>
      <w:r>
        <w:rPr>
          <w:rFonts w:ascii="Times New Roman" w:eastAsia="Times New Roman" w:hAnsi="Times New Roman" w:cs="Times New Roman"/>
        </w:rPr>
        <w:t>100%-120%</w:t>
      </w:r>
      <w:r>
        <w:rPr>
          <w:rFonts w:ascii="SimSun" w:eastAsia="SimSun" w:hAnsi="SimSun" w:cs="SimSun"/>
        </w:rPr>
        <w:t>的范围内。平行志愿投档的省份提档比例一般不超过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我校可接收非第一志愿考生。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学校录取和专业安排以高考投档成绩为准。对享受政策加分（或降分）的考生，由各省级招办按照规定加分（或降分）投档。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对于符合学校投档要求的考生的专业安排，除浙江、上海等对高考录取有特殊规定的省份外，我校将按照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不设专业级差。考生分数相同时，依据专业志愿顺序进行录取。若考生分数及专业志愿顺序均相同，则参照考生所在省级高校招生委员会的排序原则进行录取，如考生所在省级高校招生委员会无排序原则，则按专业相关科目成绩高者优先录取。相关科目成绩比较顺序：文史类考生依次比较语文、数学、外语，理工类考生依次比较数学、语文、外语。考生所有专业志愿都无法满足时，若服从专业调剂，则调剂到未录满的专业或尚有调剂计划的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浙江省考生由浙江省教育考试院按其有关规定直接投档到专业。对上海市考生由上海市教育考试院按其有关规定投档，投档分数相同的考生的专业安排参照上海市教育考试院的排序规则执行。上海市、浙江省考生报考专业时选考科目须符合学校公布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对江苏省考生选测科目等级要求为</w:t>
      </w:r>
      <w:r>
        <w:rPr>
          <w:rFonts w:ascii="Times New Roman" w:eastAsia="Times New Roman" w:hAnsi="Times New Roman" w:cs="Times New Roman"/>
        </w:rPr>
        <w:t>B+B+</w:t>
      </w:r>
      <w:r>
        <w:rPr>
          <w:rFonts w:ascii="SimSun" w:eastAsia="SimSun" w:hAnsi="SimSun" w:cs="SimSun"/>
        </w:rPr>
        <w:t>（含）以上，进档后的录取办法依照第十四条，若考生分数、专业志愿及相关科目成绩均相同则参照等级，等级优先次序由高到低分别为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。获得我校自主招生认定资格或高校专项计划认定资格的考生选测科目等级要求为</w:t>
      </w:r>
      <w:r>
        <w:rPr>
          <w:rFonts w:ascii="Times New Roman" w:eastAsia="Times New Roman" w:hAnsi="Times New Roman" w:cs="Times New Roman"/>
        </w:rPr>
        <w:t>BB</w:t>
      </w:r>
      <w:r>
        <w:rPr>
          <w:rFonts w:ascii="SimSun" w:eastAsia="SimSun" w:hAnsi="SimSun" w:cs="SimSun"/>
        </w:rPr>
        <w:t>（含）以上。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录取规则，即按照分数优先原则，按分数由高分到低分，结合考生专业志愿，择优安排专业录取。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录取时，无往届生和应届生限制，无男女生比例限制。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考生应根据当地省级教育行政部门公布的学校专业目录填报志愿。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招收考生体检按教育部、卫生部、中国残疾人联合会印发的《普通高等学校招生体检工作指导意见》及相关补充规定执行。电气工程及其自动化、农业电气化、智能电网信息工程、能源与动力工程、自动化、测控技术与仪器、核工程与核技术、辐射防护与核安全、水文与水资源工程、新能源科学与工程、环境工程、环境科学、应用化学、能源化学工程、广告学专业不适宜辨色能力异常（色盲、色弱）考生攻读，考生在填报相关专业类时请谨慎，在专业分流时不建议选择以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根据国家有关规定，学生入学须缴纳学费、住宿费等费用。学校根据教育部、北京市及河北省政府有关部门收费标准的规定，北京校部、保定校区理工科专业学费标准为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年，英语和翻译专业学费标准为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年。保定校区产品设计专业（艺术类）的学费标准为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家庭经济困难新生，学校鼓励其入校前持《录取通知书》等材料在家庭户籍所在地相关机构申请办理国家助学贷款，也可在入校后通过学校向银行申请办理校园地国家助学贷款。学校设有学生资助管理中心，帮助和指导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保送生、高水平运动队、艺术类、自主招生、第二学士学位、少数民族预科班、内地西藏班、内地新疆高中班、国家专项计划、高校专项计划、华侨港澳台学生和台湾高中毕业生招生按照学校招生简章和教育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新生入校后，我校将按照教育部要求进行复查审核工作。凡复查不合格的新生，将按照有关招生规定进行处理，直至取消入学资格。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北京校部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地址：北京市昌平区回龙观北农路</w:t>
      </w:r>
      <w:r>
        <w:rPr>
          <w:rFonts w:ascii="Times New Roman" w:eastAsia="Times New Roman" w:hAnsi="Times New Roman" w:cs="Times New Roman"/>
        </w:rPr>
        <w:t>2</w:t>
      </w:r>
      <w:r>
        <w:rPr>
          <w:rFonts w:ascii="SimSun" w:eastAsia="SimSun" w:hAnsi="SimSun" w:cs="SimSun"/>
        </w:rPr>
        <w:t>号华北电力大学招生办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010-61773377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http://goto.ncepu.edu.cn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zsb@ncepu.edu.cn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地址：河北省保定市莲池区华电路</w:t>
      </w:r>
      <w:r>
        <w:rPr>
          <w:rFonts w:ascii="Times New Roman" w:eastAsia="Times New Roman" w:hAnsi="Times New Roman" w:cs="Times New Roman"/>
        </w:rPr>
        <w:t>689</w:t>
      </w:r>
      <w:r>
        <w:rPr>
          <w:rFonts w:ascii="SimSun" w:eastAsia="SimSun" w:hAnsi="SimSun" w:cs="SimSun"/>
        </w:rPr>
        <w:t>号华北电力大学（保定）招生办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071003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0312-7523164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http://zhaosheng.ncepu.edu.cn/zs/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ncepu_zs@163.com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我校本科招生录取工作接受纪检监察部门、考生、家长以及社会各界的监督。监督电话：</w:t>
      </w:r>
      <w:r>
        <w:rPr>
          <w:rFonts w:ascii="Times New Roman" w:eastAsia="Times New Roman" w:hAnsi="Times New Roman" w:cs="Times New Roman"/>
        </w:rPr>
        <w:t>010-61772561</w:t>
      </w:r>
      <w:r>
        <w:rPr>
          <w:rFonts w:ascii="SimSun" w:eastAsia="SimSun" w:hAnsi="SimSun" w:cs="SimSun"/>
        </w:rPr>
        <w:t>（北京校部）；</w:t>
      </w:r>
      <w:r>
        <w:rPr>
          <w:rFonts w:ascii="Times New Roman" w:eastAsia="Times New Roman" w:hAnsi="Times New Roman" w:cs="Times New Roman"/>
        </w:rPr>
        <w:t>0312-7522700</w:t>
      </w:r>
      <w:r>
        <w:rPr>
          <w:rFonts w:ascii="SimSun" w:eastAsia="SimSun" w:hAnsi="SimSun" w:cs="SimSun"/>
        </w:rPr>
        <w:t>（保定校区）。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本章程适用于我校普通本科招生工作，由招生办公室负责解释，自公布之日起施行，学校以往有关招生工作的文件规定凡与本章程相悖之处，以本章程为准。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年高会统招招生章程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5.html" TargetMode="External" /><Relationship Id="rId5" Type="http://schemas.openxmlformats.org/officeDocument/2006/relationships/hyperlink" Target="http://www.gk114.com/a/gxzs/zszc/beijing/2019/0615/990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