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华北科技学院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华北科技学院是应急管理部直属的公办普通本科学校，面向全国招收普通全日制本科学生，学校国标代码</w:t>
      </w:r>
      <w:r>
        <w:rPr>
          <w:rFonts w:ascii="Times New Roman" w:eastAsia="Times New Roman" w:hAnsi="Times New Roman" w:cs="Times New Roman"/>
        </w:rPr>
        <w:t>11104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学校地处河北省燕郊国家高新产业开发区，距北京天安门约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公里，北京市</w:t>
      </w:r>
      <w:r>
        <w:rPr>
          <w:rFonts w:ascii="Times New Roman" w:eastAsia="Times New Roman" w:hAnsi="Times New Roman" w:cs="Times New Roman"/>
        </w:rPr>
        <w:t>811</w:t>
      </w:r>
      <w:r>
        <w:rPr>
          <w:rFonts w:ascii="SimSun" w:eastAsia="SimSun" w:hAnsi="SimSun" w:cs="SimSun"/>
        </w:rPr>
        <w:t>路、</w:t>
      </w:r>
      <w:r>
        <w:rPr>
          <w:rFonts w:ascii="Times New Roman" w:eastAsia="Times New Roman" w:hAnsi="Times New Roman" w:cs="Times New Roman"/>
        </w:rPr>
        <w:t>812</w:t>
      </w:r>
      <w:r>
        <w:rPr>
          <w:rFonts w:ascii="SimSun" w:eastAsia="SimSun" w:hAnsi="SimSun" w:cs="SimSun"/>
        </w:rPr>
        <w:t>路等公共汽车直达学校。学校户口所在地为：河北省三河市燕郊国家高新产业开发区。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年招生录取程序、规则以及学费标准等有关事项如下：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一、严格执行教育部及有关省（区、市）制定的招生政策、规定，贯彻公平、公正、公开，德智体全面考核择优录取的原则。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二、英语、日语专业只招外语语种为英语的考生。国际经济与贸易专业部分课程采用英语授课，建议非英语考生慎重报考。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三、采矿工程专业只招男生且只录取有志愿考生，其他各专业男女比例不作限制。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社会体育指导与管理专业、环境设计专业、产品设计专业使用各省（区、市）专业统考成绩，按照各省（区、市）规定的录取规则录取，若各省（区、市）无具体要求的，按文化课和专业课总分录取，总分相同情况下按专业分数高低顺序录取，如出现总分、专业课分数均相同的情况，则依次比较语文、数学、外语、综合分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五、安全科学与工程类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职业安全与公共健康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专业为中外合作办学专业，只录取有志愿的考生，部分课程为英语授课，建议英语语种考生报考。该专业采取</w:t>
      </w:r>
      <w:r>
        <w:rPr>
          <w:rFonts w:ascii="Times New Roman" w:eastAsia="Times New Roman" w:hAnsi="Times New Roman" w:cs="Times New Roman"/>
        </w:rPr>
        <w:t>“3+1”</w:t>
      </w:r>
      <w:r>
        <w:rPr>
          <w:rFonts w:ascii="SimSun" w:eastAsia="SimSun" w:hAnsi="SimSun" w:cs="SimSun"/>
        </w:rPr>
        <w:t>培养模式，第四年在美国玛斯金格姆大学学习，学生顺利完成学业可获得我校毕业证书和学士学位证书，以及玛斯金格姆大学学士学位证书暨本科毕业证书（美方二证合一）。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六、考生身体健康标准按教育部、卫生部、中国残疾人联合会印发的《普通高等学校招生体检工作指导意见》及有关补充规定执行。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七、非平行志愿省份，不设志愿级差，按志愿优先的方式录取。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对进档考生不设置专业分数级差，按专业志愿优先方式录取；报考志愿、分数、专业相同时，如省内有录取规则，按省内录取规则确定专业，如省内没有录取规则，按相关科目排序择优确定专业：文史类考生依次比较语文、数学、外语、文综；理工类考生依次比较数学、语文、外语、理综；英语、日语专业依次比较英语、语文、数学、文综。江苏省按照先分数后等级规则录取，分数、等级均相同时，按前列规则确定专业。高考综合改革试点省市录取规则按生源省市有关规定执行，如仍出现需要排序情况则按上述规则排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九、国家专项计划按教育部及各省（区、市）有关规定执行。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十、同意执行各省（区、市）制定的有关加分或降分政策。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十一、具体招生专业、人数以各省（区、市）招生办公布的为准，预留计划用于调节各省（区、市）统考上线生源的不平衡。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十二、我校招生录取实行计算机远程网上录取，如遇网络传输等其他因素造成的招生遗留问题，由我校和有关省（区、市）招生办协商解决。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十三、收费标准。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本科生学费为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年，社会体育指导与管理、环境设计、产品设计专业为</w:t>
      </w:r>
      <w:r>
        <w:rPr>
          <w:rFonts w:ascii="Times New Roman" w:eastAsia="Times New Roman" w:hAnsi="Times New Roman" w:cs="Times New Roman"/>
        </w:rPr>
        <w:t>6125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年，安全科学与工程类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职业安全与公共健康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专业在国内学费为</w:t>
      </w:r>
      <w:r>
        <w:rPr>
          <w:rFonts w:ascii="Times New Roman" w:eastAsia="Times New Roman" w:hAnsi="Times New Roman" w:cs="Times New Roman"/>
        </w:rPr>
        <w:t>17000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年，第四年赴国外学习，按美国玛斯金格姆大学要求缴费（学费优惠后约</w:t>
      </w:r>
      <w:r>
        <w:rPr>
          <w:rFonts w:ascii="Times New Roman" w:eastAsia="Times New Roman" w:hAnsi="Times New Roman" w:cs="Times New Roman"/>
        </w:rPr>
        <w:t>1.8</w:t>
      </w:r>
      <w:r>
        <w:rPr>
          <w:rFonts w:ascii="SimSun" w:eastAsia="SimSun" w:hAnsi="SimSun" w:cs="SimSun"/>
        </w:rPr>
        <w:t>万美元左右）。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</w:t>
      </w:r>
      <w:r>
        <w:rPr>
          <w:rFonts w:ascii="Times New Roman" w:eastAsia="Times New Roman" w:hAnsi="Times New Roman" w:cs="Times New Roman"/>
        </w:rPr>
        <w:t>500~800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年（执行文号：冀价行费字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若物价管理部门调整收费标准，学校将按照新规定执行。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十四、学校设有国家奖学金、国家励志奖学金、国家助学金；学校设有优秀学生奖学金、各类单项奖学金；家庭困难的学生可申请国家助学贷款、勤工助学、特困补助、学费减免。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十五、学生在规定年限内修完教学计划规定的内容、取得规定的学分，准予毕业，由学校颁发华北科技学院本科毕业证书；符合学校学士学位授予规定者，授予学士学位并颁发证书。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学校通信地址：北京东燕郊开发区学院大街</w:t>
      </w:r>
      <w:r>
        <w:rPr>
          <w:rFonts w:ascii="Times New Roman" w:eastAsia="Times New Roman" w:hAnsi="Times New Roman" w:cs="Times New Roman"/>
        </w:rPr>
        <w:t>467</w:t>
      </w:r>
      <w:r>
        <w:rPr>
          <w:rFonts w:ascii="SimSun" w:eastAsia="SimSun" w:hAnsi="SimSun" w:cs="SimSun"/>
        </w:rPr>
        <w:t>号（</w:t>
      </w:r>
      <w:r>
        <w:rPr>
          <w:rFonts w:ascii="Times New Roman" w:eastAsia="Times New Roman" w:hAnsi="Times New Roman" w:cs="Times New Roman"/>
        </w:rPr>
        <w:t>206</w:t>
      </w:r>
      <w:r>
        <w:rPr>
          <w:rFonts w:ascii="SimSun" w:eastAsia="SimSun" w:hAnsi="SimSun" w:cs="SimSun"/>
        </w:rPr>
        <w:t>信箱）招生就业处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065201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61591445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61591128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http://zs.ncist.edu.cn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唐山学院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河北体育学院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1008/21075.html" TargetMode="External" /><Relationship Id="rId14" Type="http://schemas.openxmlformats.org/officeDocument/2006/relationships/hyperlink" Target="http://www.gk114.com/a/gxzs/zszc/hebei/2021/1008/21074.html" TargetMode="External" /><Relationship Id="rId15" Type="http://schemas.openxmlformats.org/officeDocument/2006/relationships/hyperlink" Target="http://www.gk114.com/a/gxzs/zszc/hebei/2021/1008/21073.html" TargetMode="External" /><Relationship Id="rId16" Type="http://schemas.openxmlformats.org/officeDocument/2006/relationships/hyperlink" Target="http://www.gk114.com/a/gxzs/zszc/hebei/2021/1008/21072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19/0221/6413.html" TargetMode="External" /><Relationship Id="rId5" Type="http://schemas.openxmlformats.org/officeDocument/2006/relationships/hyperlink" Target="http://www.gk114.com/a/gxzs/zszc/hebei/2019/0221/6415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7.html" TargetMode="External" /><Relationship Id="rId9" Type="http://schemas.openxmlformats.org/officeDocument/2006/relationships/hyperlink" Target="http://www.gk114.com/a/gxzs/zszc/hebei/2022/0601/226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