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南开大学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年外国语言文学类专业保送生简章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党的教育方针，根据《教育部办公厅关于做好2023年普通高等学校部分特殊类型招生工作的通知》（教学厅〔2022〕8号）要求，结合南开大学2023年外国语言文学类人才选拔和培养方案，我校继续组织开展外国语言文学类保送生工作，具体内容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一、本简章适用于南开大学2023年外国语言文学类专业保送生招收工作，</w:t>
      </w:r>
      <w:r>
        <w:rPr>
          <w:rFonts w:ascii="Microsoft YaHei" w:eastAsia="Microsoft YaHei" w:hAnsi="Microsoft YaHei" w:cs="Microsoft YaHei"/>
          <w:b/>
          <w:bCs/>
          <w:color w:val="FF0000"/>
        </w:rPr>
        <w:t>招生专业包括英语、俄语、日语、法语、德语、翻译、西班牙语、葡萄牙语、意大利语、阿拉伯语。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二、招收对象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符合教育部外国语言文学类专业保送生政策规定，成绩优异、身体健康、综合素质高、全面发展的应届高中毕业生。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history="1">
        <w:r>
          <w:rPr>
            <w:rFonts w:ascii="Microsoft YaHei" w:eastAsia="Microsoft YaHei" w:hAnsi="Microsoft YaHei" w:cs="Microsoft YaHei"/>
            <w:b/>
            <w:bCs/>
            <w:color w:val="666666"/>
            <w:u w:val="single" w:color="666666"/>
          </w:rPr>
          <w:t>仅限具有推荐保送生资格的16所外国语中学。</w:t>
        </w:r>
      </w:hyperlink>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三、招生申请及专业要求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网上报名：符合报名条件的考生，</w:t>
      </w:r>
      <w:r>
        <w:rPr>
          <w:rFonts w:ascii="Microsoft YaHei" w:eastAsia="Microsoft YaHei" w:hAnsi="Microsoft YaHei" w:cs="Microsoft YaHei"/>
          <w:b/>
          <w:bCs/>
          <w:color w:val="FF0000"/>
        </w:rPr>
        <w:t>请于2022年12月18日0:00至2022年12月23日16:00登录阳光高考特殊类型招生报名平台（http://gaokao.chsi.com.cn/bssbm/）</w:t>
      </w:r>
      <w:r>
        <w:rPr>
          <w:rFonts w:ascii="Microsoft YaHei" w:eastAsia="Microsoft YaHei" w:hAnsi="Microsoft YaHei" w:cs="Microsoft YaHei"/>
          <w:color w:val="666666"/>
        </w:rPr>
        <w:t>，注册报名，并上传材料。（具体上传材料详见报名系统内要求。）网上报名成功后，请下载打印报名申请表，经考生本人签字和所在中学签字盖章后上传到报名系统（考生需注意上传到报名系统的申请表版本号必须与报名系统一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仅需网上报名，不需要寄送纸质报名材料。申请材料请以照片形式上传，所有上传材料均须清晰、真实、完整、可读。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FF0000"/>
        </w:rPr>
        <w:t>我校将于2022年12月26日前公布初审结果</w:t>
      </w:r>
      <w:r>
        <w:rPr>
          <w:rFonts w:ascii="Microsoft YaHei" w:eastAsia="Microsoft YaHei" w:hAnsi="Microsoft YaHei" w:cs="Microsoft YaHei"/>
          <w:color w:val="666666"/>
        </w:rPr>
        <w:t>，考生可登陆报名系统查询初审结果,请考生密切关注相关信息。初审合格的考生可参加我校外国语言文学类专业保送生测试。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（二）报考专业外语语种要求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专业名称 高中所学外语语种要求 专业名称 高中所学外语语种要求</w:t>
      </w:r>
      <w:r>
        <w:rPr>
          <w:rFonts w:ascii="Microsoft YaHei" w:eastAsia="Microsoft YaHei" w:hAnsi="Microsoft YaHei" w:cs="Microsoft YaHei"/>
          <w:color w:val="666666"/>
        </w:rPr>
        <w:t>　　</w:t>
      </w:r>
    </w:p>
    <w:tbl>
      <w:tblPr>
        <w:tblW w:w="35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26"/>
        <w:gridCol w:w="2566"/>
        <w:gridCol w:w="1126"/>
        <w:gridCol w:w="2566"/>
      </w:tblGrid>
      <w:tr>
        <w:tblPrEx>
          <w:tblW w:w="35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专业名称</w:t>
            </w:r>
          </w:p>
        </w:tc>
        <w:tc>
          <w:tcPr>
            <w:tcBorders>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高中所学外语语种要求</w:t>
            </w:r>
          </w:p>
        </w:tc>
        <w:tc>
          <w:tcPr>
            <w:tcBorders>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专业名称</w:t>
            </w:r>
          </w:p>
        </w:tc>
        <w:tc>
          <w:tcPr>
            <w:tcBorders>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高中所学外语语种要求</w:t>
            </w:r>
          </w:p>
        </w:tc>
      </w:tr>
      <w:tr>
        <w:tblPrEx>
          <w:tblW w:w="35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英语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翻译</w:t>
            </w:r>
          </w:p>
        </w:tc>
        <w:tc>
          <w:tcPr>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w:t>
            </w:r>
          </w:p>
        </w:tc>
      </w:tr>
      <w:tr>
        <w:tblPrEx>
          <w:tblW w:w="35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俄语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英语或俄语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西班牙语</w:t>
            </w:r>
          </w:p>
        </w:tc>
        <w:tc>
          <w:tcPr>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英语或西班牙语</w:t>
            </w:r>
          </w:p>
        </w:tc>
      </w:tr>
      <w:tr>
        <w:tblPrEx>
          <w:tblW w:w="35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日语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英语或日语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葡萄牙语</w:t>
            </w:r>
          </w:p>
        </w:tc>
        <w:tc>
          <w:tcPr>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英语或葡萄牙语</w:t>
            </w:r>
          </w:p>
        </w:tc>
      </w:tr>
      <w:tr>
        <w:tblPrEx>
          <w:tblW w:w="35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法语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英语或法语</w:t>
            </w:r>
          </w:p>
        </w:tc>
        <w:tc>
          <w:tcPr>
            <w:tcBorders>
              <w:top w:val="inset" w:sz="6" w:space="0" w:color="000000"/>
              <w:left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意大利语</w:t>
            </w:r>
          </w:p>
        </w:tc>
        <w:tc>
          <w:tcPr>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英语或意大利语</w:t>
            </w:r>
          </w:p>
        </w:tc>
      </w:tr>
      <w:tr>
        <w:tblPrEx>
          <w:tblW w:w="3500" w:type="pct"/>
          <w:jc w:val="center"/>
          <w:tblInd w:w="76" w:type="dxa"/>
          <w:tblCellMar>
            <w:top w:w="0" w:type="dxa"/>
            <w:left w:w="0" w:type="dxa"/>
            <w:bottom w:w="0" w:type="dxa"/>
            <w:right w:w="0" w:type="dxa"/>
          </w:tblCellMar>
        </w:tblPrEx>
        <w:trPr>
          <w:jc w:val="center"/>
        </w:trPr>
        <w:tc>
          <w:tcPr>
            <w:tcBorders>
              <w:top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德语</w:t>
            </w:r>
          </w:p>
        </w:tc>
        <w:tc>
          <w:tcPr>
            <w:tcBorders>
              <w:top w:val="inset" w:sz="6" w:space="0" w:color="000000"/>
              <w:left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英语或德语</w:t>
            </w:r>
          </w:p>
        </w:tc>
        <w:tc>
          <w:tcPr>
            <w:tcBorders>
              <w:top w:val="inset" w:sz="6" w:space="0" w:color="000000"/>
              <w:left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阿拉伯语</w:t>
            </w:r>
          </w:p>
        </w:tc>
        <w:tc>
          <w:tcPr>
            <w:tcBorders>
              <w:top w:val="inset" w:sz="6" w:space="0" w:color="000000"/>
              <w:lef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英语或阿拉伯语</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1.高中所学外语语种为英语语种的考生最多可按志愿顺序在报名系统中填报符合要求的三个专业志愿；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2.高中所学外语语种为非通用语语种的考生（俄语、日语、法语、德语、西班牙语、葡萄牙语、意大利语、阿拉伯语）仅能填报与所学语种相同的一个专业志愿。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四、测试情况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初审通过的考生登录阳光高考特殊类型招生报名平台（http://gaokao.chsi.com.cn/bssbm/），进入个人报名账号内查看准考证信息并下载打印准考证。准考证信息查看及下载打印的具体开放时间待初审合格名单公布后详见报名平台个人报名账号内的通知。</w:t>
      </w:r>
    </w:p>
    <w:tbl>
      <w:tblPr>
        <w:tblW w:w="3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086"/>
        <w:gridCol w:w="1308"/>
      </w:tblGrid>
      <w:tr>
        <w:tblPrEx>
          <w:tblW w:w="3000" w:type="pct"/>
          <w:jc w:val="center"/>
          <w:tblInd w:w="76" w:type="dxa"/>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高中所学外语语种</w:t>
            </w:r>
          </w:p>
        </w:tc>
        <w:tc>
          <w:tcPr>
            <w:tcBorders>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线上面试</w:t>
            </w:r>
          </w:p>
        </w:tc>
      </w:tr>
      <w:tr>
        <w:tblPrEx>
          <w:tblW w:w="3000" w:type="pct"/>
          <w:jc w:val="center"/>
          <w:tblInd w:w="76" w:type="dxa"/>
          <w:tblCellMar>
            <w:top w:w="0" w:type="dxa"/>
            <w:left w:w="0" w:type="dxa"/>
            <w:bottom w:w="0" w:type="dxa"/>
            <w:right w:w="0" w:type="dxa"/>
          </w:tblCellMar>
        </w:tblPrEx>
        <w:trPr>
          <w:jc w:val="center"/>
        </w:trPr>
        <w:tc>
          <w:tcPr>
            <w:tcBorders>
              <w:top w:val="inset" w:sz="6" w:space="0" w:color="000000"/>
              <w:bottom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英语语种</w:t>
            </w:r>
          </w:p>
        </w:tc>
        <w:tc>
          <w:tcPr>
            <w:tcBorders>
              <w:top w:val="inset" w:sz="6" w:space="0" w:color="000000"/>
              <w:left w:val="inset" w:sz="6" w:space="0" w:color="000000"/>
              <w:bottom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英语口试</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（100分）</w:t>
            </w:r>
          </w:p>
        </w:tc>
      </w:tr>
      <w:tr>
        <w:tblPrEx>
          <w:tblW w:w="3000" w:type="pct"/>
          <w:jc w:val="center"/>
          <w:tblInd w:w="76" w:type="dxa"/>
          <w:tblCellMar>
            <w:top w:w="0" w:type="dxa"/>
            <w:left w:w="0" w:type="dxa"/>
            <w:bottom w:w="0" w:type="dxa"/>
            <w:right w:w="0" w:type="dxa"/>
          </w:tblCellMar>
        </w:tblPrEx>
        <w:trPr>
          <w:jc w:val="center"/>
        </w:trPr>
        <w:tc>
          <w:tcPr>
            <w:tcBorders>
              <w:top w:val="inset" w:sz="6" w:space="0" w:color="000000"/>
              <w:righ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非通用语语种</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（俄语、日语、法语、德语、西班牙语、葡萄牙语、意大利语、阿拉伯语）</w:t>
            </w:r>
          </w:p>
        </w:tc>
        <w:tc>
          <w:tcPr>
            <w:tcBorders>
              <w:top w:val="inset" w:sz="6" w:space="0" w:color="000000"/>
              <w:left w:val="inset" w:sz="6" w:space="0" w:color="000000"/>
            </w:tcBorders>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非通用语</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口试</w:t>
            </w:r>
            <w:r>
              <w:rPr>
                <w:rFonts w:ascii="Microsoft YaHei" w:eastAsia="Microsoft YaHei" w:hAnsi="Microsoft YaHei" w:cs="Microsoft YaHei"/>
                <w:b w:val="0"/>
                <w:bCs w:val="0"/>
                <w:i w:val="0"/>
                <w:iCs w:val="0"/>
                <w:smallCaps w:val="0"/>
                <w:color w:val="666666"/>
              </w:rPr>
              <w:br/>
            </w:r>
            <w:r>
              <w:rPr>
                <w:rFonts w:ascii="Microsoft YaHei" w:eastAsia="Microsoft YaHei" w:hAnsi="Microsoft YaHei" w:cs="Microsoft YaHei"/>
                <w:b w:val="0"/>
                <w:bCs w:val="0"/>
                <w:i w:val="0"/>
                <w:iCs w:val="0"/>
                <w:smallCaps w:val="0"/>
                <w:color w:val="666666"/>
              </w:rPr>
              <w:t>（100分）</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考虑当前疫情防控情况，在确保安全性、公平性和科学性的基础上，对于初审通过的考生，我校将于2023年1月2日采取网络远程面试的方式进行外国语言文学类保送生面试工作，并将在1月1日提前开展远程面试预演工作，凡因考生个人原因无法参加提前预演和正式面试流程的学生，视为放弃后续相关考核和录取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考核测试有关详细事宜请关注后续通知。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南开大学招生工作领导小组根据考生的线上面试成绩，按照分数优先的原则确定入选名单及专业（不同外语语种分列）。我校将依据教育部相关规定将确定的拟录取名单报生源所在地省级招办审核并办理录取手续。收到生源所在地省级招办的录取审批表后发放录取通知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经我校考核通过的外国语言文学类专业保送生名单将在南开大学本科生招生网公示，同时由学生所在中学张榜公布，省级招生办公室在本省公示，并报教育部相关网站公示。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六、其他要求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（一）高中所学外语语种为英语的外国语言文学类专业保送生入校后，不允许调整到非外语类专业。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（二）高中所学外语语种为非通用语语种（俄语、日语、法语、德语、西班牙语、葡萄牙语、意大利语、阿拉伯语）的外国语言文学类专业保送生入校后，不允许调整专业。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所有信息全部由考生通过“南开大学本科生招生网”和“教育部阳光高考特殊类型招生报名系统”登录考生本人账号自行查询，不再另行通知。考生在报名后，应密切关注查询有关信息，未能及时查询的，由考生承担相应后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招收保送生是深化高考招生制度改革的一项重要举措，所有招录工作均在南开大学招生工作领导小组的领导下，由南开大学招生办公室负责具体工作的组织和实施。学校纪检部门全程参与，接受社会监督和投诉（监督与投诉电话：022-85358691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（二）考生对测试过程、测试成绩、录取结果有异议时可向学校招生部门提出申诉（申诉电话：022-23504845）。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有关中学应本着高度负责的精神，严格按照规定程序公开组织推荐工作。学生应本着诚信原则如实申报有关材料。对在我校保送生测试中存在虚报或伪造、变造有关材料，考试作弊，替考等弄虚作假、徇私舞弊行为的，一经查实，依据有关规定予以严肃处理：未入学者，取消其保送生考核成绩及参加当年高考考试资格或录取资格，并将有关情况记入考生高考诚信电子档案；已经被录取或取得学籍者，由我校取消其入学资格或学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（四）本简章未尽事宜后续通知。若因疫情防控情况等本招生办法做相应调整，届时另行通知。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八、本简章由南开大学招生办公室负责解释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电话：022-23504845，60365167</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网址：http://zsb.nankai.edu.cn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baosong/" TargetMode="External" /><Relationship Id="rId5" Type="http://schemas.openxmlformats.org/officeDocument/2006/relationships/hyperlink" Target="http://www.gk114.com/a/gxzs/zszc/tianjin/2022/0529/22585.html" TargetMode="External" /><Relationship Id="rId6" Type="http://schemas.openxmlformats.org/officeDocument/2006/relationships/hyperlink" Target="http://www.gk114.com/a/gxzs/zszc/tianjin/2023/0410/26644.html" TargetMode="External" /><Relationship Id="rId7" Type="http://schemas.openxmlformats.org/officeDocument/2006/relationships/hyperlink" Target="http://www.gk114.com/a/gxzs/zszc/tianjin/"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