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南开大学</w:t>
      </w:r>
      <w:r>
        <w:rPr>
          <w:rFonts w:ascii="Times New Roman" w:eastAsia="Times New Roman" w:hAnsi="Times New Roman" w:cs="Times New Roman"/>
          <w:kern w:val="36"/>
          <w:sz w:val="48"/>
          <w:szCs w:val="48"/>
        </w:rPr>
        <w:t>2023</w:t>
      </w:r>
      <w:r>
        <w:rPr>
          <w:rFonts w:ascii="SimSun" w:eastAsia="SimSun" w:hAnsi="SimSun" w:cs="SimSun"/>
          <w:kern w:val="36"/>
          <w:sz w:val="48"/>
          <w:szCs w:val="48"/>
        </w:rPr>
        <w:t>年强基计划招生简章</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2023-04-10</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为深入落实《国务院关于深化考试招生制度改革的实施意见》（国发〔2014〕35号）、《关于在部分高校开展基础学科招生改革试点工作的意见》（教学〔2020〕1号）等文件要求，服务国家重大战略需求，加强基础学科拔尖创新人才选拔培养，南开大学2023年继续开展基础学科招生改革试点工作（以下简称“南开大学强基计划”），探索多维度考核评价模式，选拔一批有志向、有兴趣、有天赋的青年学生进行专门培养，为国家重大战略领域输送后备人才。</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　一、招生对象及报名条件</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在我校安排强基计划招生的省份，符合2023年普通高等学校招生全国统一考试报名条件，综合素质优秀或基础学科拔尖，并有志于将来从事相关领域科学技术工作的高中毕业生均可申请报名。申请报名考生分为以下两类：</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第一类：</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高考成绩优异，学科专业能力突出，创新能力强的考生。</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第二类：</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相关学科领域具有突出才能和表现的考生，破格入围条件为高中阶段全国中学生（数学、物理、化学、生物或信息学）奥林匹克竞赛全国决赛二等奖及以上。</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　二、招生专业及要求</w:t>
      </w:r>
      <w:r>
        <w:rPr>
          <w:rFonts w:ascii="Microsoft YaHei" w:eastAsia="Microsoft YaHei" w:hAnsi="Microsoft YaHei" w:cs="Microsoft YaHei"/>
          <w:color w:val="333333"/>
        </w:rPr>
        <w:t>　</w:t>
      </w:r>
    </w:p>
    <w:tbl>
      <w:tblPr>
        <w:tblW w:w="12237" w:type="dxa"/>
        <w:jc w:val="center"/>
        <w:tblInd w:w="16" w:type="dxa"/>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2441"/>
        <w:gridCol w:w="2441"/>
        <w:gridCol w:w="2441"/>
        <w:gridCol w:w="2441"/>
        <w:gridCol w:w="2441"/>
      </w:tblGrid>
      <w:tr>
        <w:tblPrEx>
          <w:tblW w:w="12237" w:type="dxa"/>
          <w:jc w:val="center"/>
          <w:tblInd w:w="16" w:type="dxa"/>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rPr>
          <w:jc w:val="center"/>
        </w:trPr>
        <w:tc>
          <w:tcPr>
            <w:tcW w:w="1000" w:type="pct"/>
            <w:vMerge w:val="restart"/>
            <w:tcBorders>
              <w:top w:val="single" w:sz="6" w:space="0" w:color="3E3E3E"/>
              <w:left w:val="single" w:sz="6" w:space="0" w:color="3E3E3E"/>
              <w:bottom w:val="single" w:sz="6" w:space="0" w:color="3E3E3E"/>
              <w:right w:val="single" w:sz="6" w:space="0" w:color="3E3E3E"/>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75" w:right="75"/>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招生专业</w:t>
            </w:r>
          </w:p>
        </w:tc>
        <w:tc>
          <w:tcPr>
            <w:tcW w:w="1000" w:type="pct"/>
            <w:vMerge w:val="restart"/>
            <w:tcBorders>
              <w:top w:val="single" w:sz="6" w:space="0" w:color="3E3E3E"/>
              <w:left w:val="single" w:sz="6" w:space="0" w:color="3E3E3E"/>
              <w:bottom w:val="single" w:sz="6" w:space="0" w:color="3E3E3E"/>
              <w:right w:val="single" w:sz="6" w:space="0" w:color="3E3E3E"/>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75" w:right="75"/>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3+3改革省份</w:t>
            </w:r>
          </w:p>
          <w:p>
            <w:pPr>
              <w:pBdr>
                <w:top w:val="none" w:sz="0" w:space="0" w:color="auto"/>
                <w:left w:val="none" w:sz="0" w:space="0" w:color="auto"/>
                <w:bottom w:val="none" w:sz="0" w:space="0" w:color="auto"/>
                <w:right w:val="none" w:sz="0" w:space="0" w:color="auto"/>
              </w:pBdr>
              <w:spacing w:before="0" w:after="168" w:line="408" w:lineRule="atLeast"/>
              <w:ind w:left="75" w:right="75"/>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选考科目要求</w:t>
            </w:r>
          </w:p>
        </w:tc>
        <w:tc>
          <w:tcPr>
            <w:gridSpan w:val="2"/>
            <w:vMerge w:val="restart"/>
            <w:tcBorders>
              <w:top w:val="single" w:sz="6" w:space="0" w:color="3E3E3E"/>
              <w:left w:val="single" w:sz="6" w:space="0" w:color="3E3E3E"/>
              <w:bottom w:val="single" w:sz="6" w:space="0" w:color="3E3E3E"/>
              <w:right w:val="single" w:sz="6" w:space="0" w:color="3E3E3E"/>
            </w:tcBorders>
            <w:noWrap w:val="0"/>
            <w:tcMar>
              <w:top w:w="8" w:type="dxa"/>
              <w:left w:w="8" w:type="dxa"/>
              <w:bottom w:w="8" w:type="dxa"/>
              <w:right w:w="8" w:type="dxa"/>
            </w:tcMar>
            <w:vAlign w:val="top"/>
            <w:hideMark/>
          </w:tcPr>
          <w:p>
            <w:pPr>
              <w:pBdr>
                <w:top w:val="none" w:sz="0" w:space="0" w:color="auto"/>
                <w:left w:val="none" w:sz="0" w:space="0" w:color="auto"/>
                <w:bottom w:val="none" w:sz="0" w:space="0" w:color="auto"/>
                <w:right w:val="none" w:sz="0" w:space="0" w:color="auto"/>
              </w:pBdr>
              <w:spacing w:before="0" w:after="168" w:line="408" w:lineRule="atLeast"/>
              <w:ind w:left="75" w:right="75"/>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3+1+2改革省份</w:t>
            </w:r>
          </w:p>
          <w:p>
            <w:pPr>
              <w:pBdr>
                <w:top w:val="none" w:sz="0" w:space="0" w:color="auto"/>
                <w:left w:val="none" w:sz="0" w:space="0" w:color="auto"/>
                <w:bottom w:val="none" w:sz="0" w:space="0" w:color="auto"/>
                <w:right w:val="none" w:sz="0" w:space="0" w:color="auto"/>
              </w:pBdr>
              <w:spacing w:before="0" w:after="168" w:line="408" w:lineRule="atLeast"/>
              <w:ind w:left="75" w:right="75"/>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选考科目要求</w:t>
            </w:r>
          </w:p>
        </w:tc>
        <w:tc>
          <w:tcPr>
            <w:tcW w:w="1000" w:type="pct"/>
            <w:vMerge w:val="restart"/>
            <w:tcBorders>
              <w:top w:val="single" w:sz="6" w:space="0" w:color="3E3E3E"/>
              <w:left w:val="single" w:sz="6" w:space="0" w:color="3E3E3E"/>
              <w:bottom w:val="single" w:sz="6" w:space="0" w:color="3E3E3E"/>
              <w:right w:val="single" w:sz="6" w:space="0" w:color="3E3E3E"/>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75" w:right="75"/>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其他省份</w:t>
            </w:r>
          </w:p>
          <w:p>
            <w:pPr>
              <w:pBdr>
                <w:top w:val="none" w:sz="0" w:space="0" w:color="auto"/>
                <w:left w:val="none" w:sz="0" w:space="0" w:color="auto"/>
                <w:bottom w:val="none" w:sz="0" w:space="0" w:color="auto"/>
                <w:right w:val="none" w:sz="0" w:space="0" w:color="auto"/>
              </w:pBdr>
              <w:spacing w:before="0" w:after="168" w:line="408" w:lineRule="atLeast"/>
              <w:ind w:left="75" w:right="75"/>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科类要求</w:t>
            </w:r>
          </w:p>
        </w:tc>
      </w:tr>
      <w:tr>
        <w:tblPrEx>
          <w:tblW w:w="12237" w:type="dxa"/>
          <w:jc w:val="center"/>
          <w:tblInd w:w="16" w:type="dxa"/>
          <w:tblCellMar>
            <w:top w:w="0" w:type="dxa"/>
            <w:left w:w="0" w:type="dxa"/>
            <w:bottom w:w="0" w:type="dxa"/>
            <w:right w:w="0" w:type="dxa"/>
          </w:tblCellMar>
        </w:tblPrEx>
        <w:trPr>
          <w:jc w:val="center"/>
        </w:trPr>
        <w:tc>
          <w:tcPr>
            <w:vMerge/>
            <w:tcBorders>
              <w:top w:val="single" w:sz="6" w:space="0" w:color="3E3E3E"/>
              <w:left w:val="single" w:sz="6" w:space="0" w:color="3E3E3E"/>
              <w:bottom w:val="single" w:sz="6" w:space="0" w:color="3E3E3E"/>
              <w:right w:val="single" w:sz="6" w:space="0" w:color="3E3E3E"/>
            </w:tcBorders>
            <w:vAlign w:val="center"/>
            <w:hideMark/>
          </w:tcPr>
          <w:p>
            <w:pPr>
              <w:rPr>
                <w:rFonts w:ascii="Microsoft YaHei" w:eastAsia="Microsoft YaHei" w:hAnsi="Microsoft YaHei" w:cs="Microsoft YaHei"/>
                <w:b w:val="0"/>
                <w:bCs w:val="0"/>
                <w:i w:val="0"/>
                <w:iCs w:val="0"/>
                <w:smallCaps w:val="0"/>
                <w:color w:val="000000"/>
              </w:rPr>
            </w:pPr>
          </w:p>
        </w:tc>
        <w:tc>
          <w:tcPr>
            <w:vMerge/>
            <w:tcBorders>
              <w:top w:val="single" w:sz="6" w:space="0" w:color="3E3E3E"/>
              <w:left w:val="single" w:sz="6" w:space="0" w:color="3E3E3E"/>
              <w:bottom w:val="single" w:sz="6" w:space="0" w:color="3E3E3E"/>
              <w:right w:val="single" w:sz="6" w:space="0" w:color="3E3E3E"/>
            </w:tcBorders>
            <w:vAlign w:val="center"/>
            <w:hideMark/>
          </w:tcPr>
          <w:p>
            <w:pPr>
              <w:rPr>
                <w:rFonts w:ascii="Microsoft YaHei" w:eastAsia="Microsoft YaHei" w:hAnsi="Microsoft YaHei" w:cs="Microsoft YaHei"/>
                <w:b w:val="0"/>
                <w:bCs w:val="0"/>
                <w:i w:val="0"/>
                <w:iCs w:val="0"/>
                <w:smallCaps w:val="0"/>
                <w:color w:val="000000"/>
              </w:rPr>
            </w:pPr>
          </w:p>
        </w:tc>
        <w:tc>
          <w:tcPr>
            <w:gridSpan w:val="2"/>
            <w:vMerge/>
            <w:tcBorders>
              <w:top w:val="single" w:sz="6" w:space="0" w:color="3E3E3E"/>
              <w:left w:val="single" w:sz="6" w:space="0" w:color="3E3E3E"/>
              <w:bottom w:val="single" w:sz="6" w:space="0" w:color="3E3E3E"/>
              <w:right w:val="single" w:sz="6" w:space="0" w:color="3E3E3E"/>
            </w:tcBorders>
            <w:vAlign w:val="center"/>
            <w:hideMark/>
          </w:tcPr>
          <w:p>
            <w:pPr>
              <w:rPr>
                <w:rFonts w:ascii="Microsoft YaHei" w:eastAsia="Microsoft YaHei" w:hAnsi="Microsoft YaHei" w:cs="Microsoft YaHei"/>
                <w:b w:val="0"/>
                <w:bCs w:val="0"/>
                <w:i w:val="0"/>
                <w:iCs w:val="0"/>
                <w:smallCaps w:val="0"/>
                <w:color w:val="000000"/>
              </w:rPr>
            </w:pPr>
          </w:p>
        </w:tc>
        <w:tc>
          <w:tcPr>
            <w:vMerge/>
            <w:tcBorders>
              <w:top w:val="single" w:sz="6" w:space="0" w:color="3E3E3E"/>
              <w:left w:val="single" w:sz="6" w:space="0" w:color="3E3E3E"/>
              <w:bottom w:val="single" w:sz="6" w:space="0" w:color="3E3E3E"/>
              <w:right w:val="single" w:sz="6" w:space="0" w:color="3E3E3E"/>
            </w:tcBorders>
            <w:vAlign w:val="center"/>
            <w:hideMark/>
          </w:tcPr>
          <w:p>
            <w:pPr>
              <w:rPr>
                <w:rFonts w:ascii="Microsoft YaHei" w:eastAsia="Microsoft YaHei" w:hAnsi="Microsoft YaHei" w:cs="Microsoft YaHei"/>
                <w:b w:val="0"/>
                <w:bCs w:val="0"/>
                <w:i w:val="0"/>
                <w:iCs w:val="0"/>
                <w:smallCaps w:val="0"/>
                <w:color w:val="000000"/>
              </w:rPr>
            </w:pPr>
          </w:p>
        </w:tc>
      </w:tr>
      <w:tr>
        <w:tblPrEx>
          <w:tblW w:w="12237" w:type="dxa"/>
          <w:jc w:val="center"/>
          <w:tblInd w:w="16" w:type="dxa"/>
          <w:tblCellMar>
            <w:top w:w="0" w:type="dxa"/>
            <w:left w:w="0" w:type="dxa"/>
            <w:bottom w:w="0" w:type="dxa"/>
            <w:right w:w="0" w:type="dxa"/>
          </w:tblCellMar>
        </w:tblPrEx>
        <w:trPr>
          <w:jc w:val="center"/>
        </w:trPr>
        <w:tc>
          <w:tcPr>
            <w:vMerge/>
            <w:tcBorders>
              <w:top w:val="single" w:sz="6" w:space="0" w:color="3E3E3E"/>
              <w:left w:val="single" w:sz="6" w:space="0" w:color="3E3E3E"/>
              <w:bottom w:val="single" w:sz="6" w:space="0" w:color="3E3E3E"/>
              <w:right w:val="single" w:sz="6" w:space="0" w:color="3E3E3E"/>
            </w:tcBorders>
            <w:vAlign w:val="center"/>
            <w:hideMark/>
          </w:tcPr>
          <w:p>
            <w:pPr>
              <w:rPr>
                <w:rFonts w:ascii="Microsoft YaHei" w:eastAsia="Microsoft YaHei" w:hAnsi="Microsoft YaHei" w:cs="Microsoft YaHei"/>
                <w:b w:val="0"/>
                <w:bCs w:val="0"/>
                <w:i w:val="0"/>
                <w:iCs w:val="0"/>
                <w:smallCaps w:val="0"/>
                <w:color w:val="000000"/>
              </w:rPr>
            </w:pPr>
          </w:p>
        </w:tc>
        <w:tc>
          <w:tcPr>
            <w:tcW w:w="1000" w:type="pct"/>
            <w:tcBorders>
              <w:top w:val="single" w:sz="6" w:space="0" w:color="3E3E3E"/>
              <w:left w:val="single" w:sz="6" w:space="0" w:color="3E3E3E"/>
              <w:bottom w:val="single" w:sz="6" w:space="0" w:color="3E3E3E"/>
              <w:right w:val="single" w:sz="6" w:space="0" w:color="3E3E3E"/>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75" w:right="75"/>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w:t>
            </w:r>
          </w:p>
        </w:tc>
        <w:tc>
          <w:tcPr>
            <w:tcW w:w="1000" w:type="pct"/>
            <w:tcBorders>
              <w:top w:val="single" w:sz="6" w:space="0" w:color="3E3E3E"/>
              <w:left w:val="single" w:sz="6" w:space="0" w:color="3E3E3E"/>
              <w:bottom w:val="single" w:sz="6" w:space="0" w:color="3E3E3E"/>
              <w:right w:val="single" w:sz="6" w:space="0" w:color="3E3E3E"/>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75" w:right="75"/>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首选</w:t>
            </w:r>
          </w:p>
        </w:tc>
        <w:tc>
          <w:tcPr>
            <w:tcW w:w="1000" w:type="pct"/>
            <w:tcBorders>
              <w:top w:val="single" w:sz="6" w:space="0" w:color="3E3E3E"/>
              <w:left w:val="single" w:sz="6" w:space="0" w:color="3E3E3E"/>
              <w:bottom w:val="single" w:sz="6" w:space="0" w:color="3E3E3E"/>
              <w:right w:val="single" w:sz="6" w:space="0" w:color="3E3E3E"/>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75" w:right="75"/>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再选</w:t>
            </w:r>
          </w:p>
        </w:tc>
        <w:tc>
          <w:tcPr>
            <w:tcW w:w="1000" w:type="pct"/>
            <w:tcBorders>
              <w:top w:val="single" w:sz="6" w:space="0" w:color="3E3E3E"/>
              <w:left w:val="single" w:sz="6" w:space="0" w:color="3E3E3E"/>
              <w:bottom w:val="single" w:sz="6" w:space="0" w:color="3E3E3E"/>
              <w:right w:val="single" w:sz="6" w:space="0" w:color="3E3E3E"/>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75" w:right="75"/>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w:t>
            </w:r>
          </w:p>
        </w:tc>
      </w:tr>
      <w:tr>
        <w:tblPrEx>
          <w:tblW w:w="12237" w:type="dxa"/>
          <w:jc w:val="center"/>
          <w:tblInd w:w="16" w:type="dxa"/>
          <w:tblCellMar>
            <w:top w:w="0" w:type="dxa"/>
            <w:left w:w="0" w:type="dxa"/>
            <w:bottom w:w="0" w:type="dxa"/>
            <w:right w:w="0" w:type="dxa"/>
          </w:tblCellMar>
        </w:tblPrEx>
        <w:trPr>
          <w:jc w:val="center"/>
        </w:trPr>
        <w:tc>
          <w:tcPr>
            <w:tcW w:w="1000" w:type="pct"/>
            <w:tcBorders>
              <w:top w:val="single" w:sz="6" w:space="0" w:color="3E3E3E"/>
              <w:left w:val="single" w:sz="6" w:space="0" w:color="3E3E3E"/>
              <w:bottom w:val="single" w:sz="6" w:space="0" w:color="3E3E3E"/>
              <w:right w:val="single" w:sz="6" w:space="0" w:color="3E3E3E"/>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75" w:right="75"/>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数学与应用数学</w:t>
            </w:r>
          </w:p>
        </w:tc>
        <w:tc>
          <w:tcPr>
            <w:tcW w:w="1000" w:type="pct"/>
            <w:tcBorders>
              <w:top w:val="single" w:sz="6" w:space="0" w:color="3E3E3E"/>
              <w:left w:val="single" w:sz="6" w:space="0" w:color="3E3E3E"/>
              <w:bottom w:val="single" w:sz="6" w:space="0" w:color="3E3E3E"/>
              <w:right w:val="single" w:sz="6" w:space="0" w:color="3E3E3E"/>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75" w:right="75"/>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w:t>
            </w:r>
          </w:p>
        </w:tc>
        <w:tc>
          <w:tcPr>
            <w:tcW w:w="1000" w:type="pct"/>
            <w:tcBorders>
              <w:top w:val="single" w:sz="6" w:space="0" w:color="3E3E3E"/>
              <w:left w:val="single" w:sz="6" w:space="0" w:color="3E3E3E"/>
              <w:bottom w:val="single" w:sz="6" w:space="0" w:color="3E3E3E"/>
              <w:right w:val="single" w:sz="6" w:space="0" w:color="3E3E3E"/>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75" w:right="75"/>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w:t>
            </w:r>
          </w:p>
        </w:tc>
        <w:tc>
          <w:tcPr>
            <w:tcW w:w="1000" w:type="pct"/>
            <w:tcBorders>
              <w:top w:val="single" w:sz="6" w:space="0" w:color="3E3E3E"/>
              <w:left w:val="single" w:sz="6" w:space="0" w:color="3E3E3E"/>
              <w:bottom w:val="single" w:sz="6" w:space="0" w:color="3E3E3E"/>
              <w:right w:val="single" w:sz="6" w:space="0" w:color="3E3E3E"/>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75" w:right="75"/>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不限</w:t>
            </w:r>
          </w:p>
        </w:tc>
        <w:tc>
          <w:tcPr>
            <w:tcW w:w="1000" w:type="pct"/>
            <w:vMerge w:val="restart"/>
            <w:tcBorders>
              <w:top w:val="single" w:sz="6" w:space="0" w:color="3E3E3E"/>
              <w:left w:val="single" w:sz="6" w:space="0" w:color="3E3E3E"/>
              <w:bottom w:val="single" w:sz="6" w:space="0" w:color="3E3E3E"/>
              <w:right w:val="single" w:sz="6" w:space="0" w:color="3E3E3E"/>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75" w:right="75"/>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理工类</w:t>
            </w:r>
          </w:p>
        </w:tc>
      </w:tr>
      <w:tr>
        <w:tblPrEx>
          <w:tblW w:w="12237" w:type="dxa"/>
          <w:jc w:val="center"/>
          <w:tblInd w:w="16" w:type="dxa"/>
          <w:tblCellMar>
            <w:top w:w="0" w:type="dxa"/>
            <w:left w:w="0" w:type="dxa"/>
            <w:bottom w:w="0" w:type="dxa"/>
            <w:right w:w="0" w:type="dxa"/>
          </w:tblCellMar>
        </w:tblPrEx>
        <w:trPr>
          <w:jc w:val="center"/>
        </w:trPr>
        <w:tc>
          <w:tcPr>
            <w:tcW w:w="1000" w:type="pct"/>
            <w:tcBorders>
              <w:top w:val="single" w:sz="6" w:space="0" w:color="3E3E3E"/>
              <w:left w:val="single" w:sz="6" w:space="0" w:color="3E3E3E"/>
              <w:bottom w:val="single" w:sz="6" w:space="0" w:color="3E3E3E"/>
              <w:right w:val="single" w:sz="6" w:space="0" w:color="3E3E3E"/>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75" w:right="75"/>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物理学</w:t>
            </w:r>
          </w:p>
        </w:tc>
        <w:tc>
          <w:tcPr>
            <w:tcW w:w="1000" w:type="pct"/>
            <w:tcBorders>
              <w:top w:val="single" w:sz="6" w:space="0" w:color="3E3E3E"/>
              <w:left w:val="single" w:sz="6" w:space="0" w:color="3E3E3E"/>
              <w:bottom w:val="single" w:sz="6" w:space="0" w:color="3E3E3E"/>
              <w:right w:val="single" w:sz="6" w:space="0" w:color="3E3E3E"/>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75" w:right="75"/>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w:t>
            </w:r>
          </w:p>
        </w:tc>
        <w:tc>
          <w:tcPr>
            <w:tcW w:w="1000" w:type="pct"/>
            <w:tcBorders>
              <w:top w:val="single" w:sz="6" w:space="0" w:color="3E3E3E"/>
              <w:left w:val="single" w:sz="6" w:space="0" w:color="3E3E3E"/>
              <w:bottom w:val="single" w:sz="6" w:space="0" w:color="3E3E3E"/>
              <w:right w:val="single" w:sz="6" w:space="0" w:color="3E3E3E"/>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75" w:right="75"/>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w:t>
            </w:r>
          </w:p>
        </w:tc>
        <w:tc>
          <w:tcPr>
            <w:tcW w:w="1000" w:type="pct"/>
            <w:tcBorders>
              <w:top w:val="single" w:sz="6" w:space="0" w:color="3E3E3E"/>
              <w:left w:val="single" w:sz="6" w:space="0" w:color="3E3E3E"/>
              <w:bottom w:val="single" w:sz="6" w:space="0" w:color="3E3E3E"/>
              <w:right w:val="single" w:sz="6" w:space="0" w:color="3E3E3E"/>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75" w:right="75"/>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不限</w:t>
            </w:r>
          </w:p>
        </w:tc>
        <w:tc>
          <w:tcPr>
            <w:vMerge/>
            <w:tcBorders>
              <w:top w:val="single" w:sz="6" w:space="0" w:color="3E3E3E"/>
              <w:left w:val="single" w:sz="6" w:space="0" w:color="3E3E3E"/>
              <w:bottom w:val="single" w:sz="6" w:space="0" w:color="3E3E3E"/>
              <w:right w:val="single" w:sz="6" w:space="0" w:color="3E3E3E"/>
            </w:tcBorders>
            <w:vAlign w:val="center"/>
            <w:hideMark/>
          </w:tcPr>
          <w:p>
            <w:pPr>
              <w:rPr>
                <w:rFonts w:ascii="Microsoft YaHei" w:eastAsia="Microsoft YaHei" w:hAnsi="Microsoft YaHei" w:cs="Microsoft YaHei"/>
                <w:b w:val="0"/>
                <w:bCs w:val="0"/>
                <w:i w:val="0"/>
                <w:iCs w:val="0"/>
                <w:smallCaps w:val="0"/>
                <w:color w:val="000000"/>
              </w:rPr>
            </w:pPr>
          </w:p>
        </w:tc>
      </w:tr>
      <w:tr>
        <w:tblPrEx>
          <w:tblW w:w="12237" w:type="dxa"/>
          <w:jc w:val="center"/>
          <w:tblInd w:w="16" w:type="dxa"/>
          <w:tblCellMar>
            <w:top w:w="0" w:type="dxa"/>
            <w:left w:w="0" w:type="dxa"/>
            <w:bottom w:w="0" w:type="dxa"/>
            <w:right w:w="0" w:type="dxa"/>
          </w:tblCellMar>
        </w:tblPrEx>
        <w:trPr>
          <w:jc w:val="center"/>
        </w:trPr>
        <w:tc>
          <w:tcPr>
            <w:tcW w:w="1000" w:type="pct"/>
            <w:tcBorders>
              <w:top w:val="single" w:sz="6" w:space="0" w:color="3E3E3E"/>
              <w:left w:val="single" w:sz="6" w:space="0" w:color="3E3E3E"/>
              <w:bottom w:val="single" w:sz="6" w:space="0" w:color="3E3E3E"/>
              <w:right w:val="single" w:sz="6" w:space="0" w:color="3E3E3E"/>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75" w:right="75"/>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化学</w:t>
            </w:r>
          </w:p>
        </w:tc>
        <w:tc>
          <w:tcPr>
            <w:tcW w:w="1000" w:type="pct"/>
            <w:tcBorders>
              <w:top w:val="single" w:sz="6" w:space="0" w:color="3E3E3E"/>
              <w:left w:val="single" w:sz="6" w:space="0" w:color="3E3E3E"/>
              <w:bottom w:val="single" w:sz="6" w:space="0" w:color="3E3E3E"/>
              <w:right w:val="single" w:sz="6" w:space="0" w:color="3E3E3E"/>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75" w:right="75"/>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物理或化学</w:t>
            </w:r>
          </w:p>
        </w:tc>
        <w:tc>
          <w:tcPr>
            <w:tcW w:w="1000" w:type="pct"/>
            <w:tcBorders>
              <w:top w:val="single" w:sz="6" w:space="0" w:color="3E3E3E"/>
              <w:left w:val="single" w:sz="6" w:space="0" w:color="3E3E3E"/>
              <w:bottom w:val="single" w:sz="6" w:space="0" w:color="3E3E3E"/>
              <w:right w:val="single" w:sz="6" w:space="0" w:color="3E3E3E"/>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75" w:right="75"/>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w:t>
            </w:r>
          </w:p>
        </w:tc>
        <w:tc>
          <w:tcPr>
            <w:tcW w:w="1000" w:type="pct"/>
            <w:tcBorders>
              <w:top w:val="single" w:sz="6" w:space="0" w:color="3E3E3E"/>
              <w:left w:val="single" w:sz="6" w:space="0" w:color="3E3E3E"/>
              <w:bottom w:val="single" w:sz="6" w:space="0" w:color="3E3E3E"/>
              <w:right w:val="single" w:sz="6" w:space="0" w:color="3E3E3E"/>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75" w:right="75"/>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化学</w:t>
            </w:r>
          </w:p>
        </w:tc>
        <w:tc>
          <w:tcPr>
            <w:vMerge/>
            <w:tcBorders>
              <w:top w:val="single" w:sz="6" w:space="0" w:color="3E3E3E"/>
              <w:left w:val="single" w:sz="6" w:space="0" w:color="3E3E3E"/>
              <w:bottom w:val="single" w:sz="6" w:space="0" w:color="3E3E3E"/>
              <w:right w:val="single" w:sz="6" w:space="0" w:color="3E3E3E"/>
            </w:tcBorders>
            <w:vAlign w:val="center"/>
            <w:hideMark/>
          </w:tcPr>
          <w:p>
            <w:pPr>
              <w:rPr>
                <w:rFonts w:ascii="Microsoft YaHei" w:eastAsia="Microsoft YaHei" w:hAnsi="Microsoft YaHei" w:cs="Microsoft YaHei"/>
                <w:b w:val="0"/>
                <w:bCs w:val="0"/>
                <w:i w:val="0"/>
                <w:iCs w:val="0"/>
                <w:smallCaps w:val="0"/>
                <w:color w:val="000000"/>
              </w:rPr>
            </w:pPr>
          </w:p>
        </w:tc>
      </w:tr>
      <w:tr>
        <w:tblPrEx>
          <w:tblW w:w="12237" w:type="dxa"/>
          <w:jc w:val="center"/>
          <w:tblInd w:w="16" w:type="dxa"/>
          <w:tblCellMar>
            <w:top w:w="0" w:type="dxa"/>
            <w:left w:w="0" w:type="dxa"/>
            <w:bottom w:w="0" w:type="dxa"/>
            <w:right w:w="0" w:type="dxa"/>
          </w:tblCellMar>
        </w:tblPrEx>
        <w:trPr>
          <w:jc w:val="center"/>
        </w:trPr>
        <w:tc>
          <w:tcPr>
            <w:tcW w:w="1000" w:type="pct"/>
            <w:tcBorders>
              <w:top w:val="single" w:sz="6" w:space="0" w:color="3E3E3E"/>
              <w:left w:val="single" w:sz="6" w:space="0" w:color="3E3E3E"/>
              <w:bottom w:val="single" w:sz="6" w:space="0" w:color="3E3E3E"/>
              <w:right w:val="single" w:sz="6" w:space="0" w:color="3E3E3E"/>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75" w:right="75"/>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生物科学</w:t>
            </w:r>
          </w:p>
        </w:tc>
        <w:tc>
          <w:tcPr>
            <w:tcW w:w="1000" w:type="pct"/>
            <w:tcBorders>
              <w:top w:val="single" w:sz="6" w:space="0" w:color="3E3E3E"/>
              <w:left w:val="single" w:sz="6" w:space="0" w:color="3E3E3E"/>
              <w:bottom w:val="single" w:sz="6" w:space="0" w:color="3E3E3E"/>
              <w:right w:val="single" w:sz="6" w:space="0" w:color="3E3E3E"/>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75" w:right="75"/>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物理或化学或生物</w:t>
            </w:r>
          </w:p>
        </w:tc>
        <w:tc>
          <w:tcPr>
            <w:tcW w:w="1000" w:type="pct"/>
            <w:tcBorders>
              <w:top w:val="single" w:sz="6" w:space="0" w:color="3E3E3E"/>
              <w:left w:val="single" w:sz="6" w:space="0" w:color="3E3E3E"/>
              <w:bottom w:val="single" w:sz="6" w:space="0" w:color="3E3E3E"/>
              <w:right w:val="single" w:sz="6" w:space="0" w:color="3E3E3E"/>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75" w:right="75"/>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w:t>
            </w:r>
          </w:p>
        </w:tc>
        <w:tc>
          <w:tcPr>
            <w:tcW w:w="1000" w:type="pct"/>
            <w:tcBorders>
              <w:top w:val="single" w:sz="6" w:space="0" w:color="3E3E3E"/>
              <w:left w:val="single" w:sz="6" w:space="0" w:color="3E3E3E"/>
              <w:bottom w:val="single" w:sz="6" w:space="0" w:color="3E3E3E"/>
              <w:right w:val="single" w:sz="6" w:space="0" w:color="3E3E3E"/>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75" w:right="75"/>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生物或化学</w:t>
            </w:r>
          </w:p>
        </w:tc>
        <w:tc>
          <w:tcPr>
            <w:vMerge/>
            <w:tcBorders>
              <w:top w:val="single" w:sz="6" w:space="0" w:color="3E3E3E"/>
              <w:left w:val="single" w:sz="6" w:space="0" w:color="3E3E3E"/>
              <w:bottom w:val="single" w:sz="6" w:space="0" w:color="3E3E3E"/>
              <w:right w:val="single" w:sz="6" w:space="0" w:color="3E3E3E"/>
            </w:tcBorders>
            <w:vAlign w:val="center"/>
            <w:hideMark/>
          </w:tcPr>
          <w:p>
            <w:pPr>
              <w:rPr>
                <w:rFonts w:ascii="Microsoft YaHei" w:eastAsia="Microsoft YaHei" w:hAnsi="Microsoft YaHei" w:cs="Microsoft YaHei"/>
                <w:b w:val="0"/>
                <w:bCs w:val="0"/>
                <w:i w:val="0"/>
                <w:iCs w:val="0"/>
                <w:smallCaps w:val="0"/>
                <w:color w:val="000000"/>
              </w:rPr>
            </w:pPr>
          </w:p>
        </w:tc>
      </w:tr>
      <w:tr>
        <w:tblPrEx>
          <w:tblW w:w="12237" w:type="dxa"/>
          <w:jc w:val="center"/>
          <w:tblInd w:w="16" w:type="dxa"/>
          <w:tblCellMar>
            <w:top w:w="0" w:type="dxa"/>
            <w:left w:w="0" w:type="dxa"/>
            <w:bottom w:w="0" w:type="dxa"/>
            <w:right w:w="0" w:type="dxa"/>
          </w:tblCellMar>
        </w:tblPrEx>
        <w:trPr>
          <w:jc w:val="center"/>
        </w:trPr>
        <w:tc>
          <w:tcPr>
            <w:tcW w:w="1000" w:type="pct"/>
            <w:tcBorders>
              <w:top w:val="single" w:sz="6" w:space="0" w:color="3E3E3E"/>
              <w:left w:val="single" w:sz="6" w:space="0" w:color="3E3E3E"/>
              <w:bottom w:val="single" w:sz="6" w:space="0" w:color="3E3E3E"/>
              <w:right w:val="single" w:sz="6" w:space="0" w:color="3E3E3E"/>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75" w:right="75"/>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历史学</w:t>
            </w:r>
          </w:p>
        </w:tc>
        <w:tc>
          <w:tcPr>
            <w:tcW w:w="1000" w:type="pct"/>
            <w:tcBorders>
              <w:top w:val="single" w:sz="6" w:space="0" w:color="3E3E3E"/>
              <w:left w:val="single" w:sz="6" w:space="0" w:color="3E3E3E"/>
              <w:bottom w:val="single" w:sz="6" w:space="0" w:color="3E3E3E"/>
              <w:right w:val="single" w:sz="6" w:space="0" w:color="3E3E3E"/>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75" w:right="75"/>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历史或地理</w:t>
            </w:r>
          </w:p>
        </w:tc>
        <w:tc>
          <w:tcPr>
            <w:tcW w:w="1000" w:type="pct"/>
            <w:tcBorders>
              <w:top w:val="single" w:sz="6" w:space="0" w:color="3E3E3E"/>
              <w:left w:val="single" w:sz="6" w:space="0" w:color="3E3E3E"/>
              <w:bottom w:val="single" w:sz="6" w:space="0" w:color="3E3E3E"/>
              <w:right w:val="single" w:sz="6" w:space="0" w:color="3E3E3E"/>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75" w:right="75"/>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历史</w:t>
            </w:r>
          </w:p>
        </w:tc>
        <w:tc>
          <w:tcPr>
            <w:tcW w:w="1000" w:type="pct"/>
            <w:tcBorders>
              <w:top w:val="single" w:sz="6" w:space="0" w:color="3E3E3E"/>
              <w:left w:val="single" w:sz="6" w:space="0" w:color="3E3E3E"/>
              <w:bottom w:val="single" w:sz="6" w:space="0" w:color="3E3E3E"/>
              <w:right w:val="single" w:sz="6" w:space="0" w:color="3E3E3E"/>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75" w:right="75"/>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不限</w:t>
            </w:r>
          </w:p>
        </w:tc>
        <w:tc>
          <w:tcPr>
            <w:tcW w:w="1000" w:type="pct"/>
            <w:vMerge w:val="restart"/>
            <w:tcBorders>
              <w:top w:val="single" w:sz="6" w:space="0" w:color="3E3E3E"/>
              <w:left w:val="single" w:sz="6" w:space="0" w:color="3E3E3E"/>
              <w:bottom w:val="single" w:sz="6" w:space="0" w:color="3E3E3E"/>
              <w:right w:val="single" w:sz="6" w:space="0" w:color="3E3E3E"/>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75" w:right="75"/>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文史类</w:t>
            </w:r>
          </w:p>
        </w:tc>
      </w:tr>
      <w:tr>
        <w:tblPrEx>
          <w:tblW w:w="12237" w:type="dxa"/>
          <w:jc w:val="center"/>
          <w:tblInd w:w="16" w:type="dxa"/>
          <w:tblCellMar>
            <w:top w:w="0" w:type="dxa"/>
            <w:left w:w="0" w:type="dxa"/>
            <w:bottom w:w="0" w:type="dxa"/>
            <w:right w:w="0" w:type="dxa"/>
          </w:tblCellMar>
        </w:tblPrEx>
        <w:trPr>
          <w:jc w:val="center"/>
        </w:trPr>
        <w:tc>
          <w:tcPr>
            <w:tcW w:w="1000" w:type="pct"/>
            <w:tcBorders>
              <w:top w:val="single" w:sz="6" w:space="0" w:color="3E3E3E"/>
              <w:left w:val="single" w:sz="6" w:space="0" w:color="3E3E3E"/>
              <w:bottom w:val="single" w:sz="6" w:space="0" w:color="3E3E3E"/>
              <w:right w:val="single" w:sz="6" w:space="0" w:color="3E3E3E"/>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75" w:right="75"/>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哲学</w:t>
            </w:r>
          </w:p>
        </w:tc>
        <w:tc>
          <w:tcPr>
            <w:tcW w:w="1000" w:type="pct"/>
            <w:tcBorders>
              <w:top w:val="single" w:sz="6" w:space="0" w:color="3E3E3E"/>
              <w:left w:val="single" w:sz="6" w:space="0" w:color="3E3E3E"/>
              <w:bottom w:val="single" w:sz="6" w:space="0" w:color="3E3E3E"/>
              <w:right w:val="single" w:sz="6" w:space="0" w:color="3E3E3E"/>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75" w:right="75"/>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不限</w:t>
            </w:r>
          </w:p>
        </w:tc>
        <w:tc>
          <w:tcPr>
            <w:tcW w:w="1000" w:type="pct"/>
            <w:tcBorders>
              <w:top w:val="single" w:sz="6" w:space="0" w:color="3E3E3E"/>
              <w:left w:val="single" w:sz="6" w:space="0" w:color="3E3E3E"/>
              <w:bottom w:val="single" w:sz="6" w:space="0" w:color="3E3E3E"/>
              <w:right w:val="single" w:sz="6" w:space="0" w:color="3E3E3E"/>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75" w:right="75"/>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历史</w:t>
            </w:r>
          </w:p>
        </w:tc>
        <w:tc>
          <w:tcPr>
            <w:tcW w:w="1000" w:type="pct"/>
            <w:tcBorders>
              <w:top w:val="single" w:sz="6" w:space="0" w:color="3E3E3E"/>
              <w:left w:val="single" w:sz="6" w:space="0" w:color="3E3E3E"/>
              <w:bottom w:val="single" w:sz="6" w:space="0" w:color="3E3E3E"/>
              <w:right w:val="single" w:sz="6" w:space="0" w:color="3E3E3E"/>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75" w:right="75"/>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不限</w:t>
            </w:r>
          </w:p>
        </w:tc>
        <w:tc>
          <w:tcPr>
            <w:vMerge/>
            <w:tcBorders>
              <w:top w:val="single" w:sz="6" w:space="0" w:color="3E3E3E"/>
              <w:left w:val="single" w:sz="6" w:space="0" w:color="3E3E3E"/>
              <w:bottom w:val="single" w:sz="6" w:space="0" w:color="3E3E3E"/>
              <w:right w:val="single" w:sz="6" w:space="0" w:color="3E3E3E"/>
            </w:tcBorders>
            <w:vAlign w:val="center"/>
            <w:hideMark/>
          </w:tcPr>
          <w:p>
            <w:pPr>
              <w:rPr>
                <w:rFonts w:ascii="Microsoft YaHei" w:eastAsia="Microsoft YaHei" w:hAnsi="Microsoft YaHei" w:cs="Microsoft YaHei"/>
                <w:b w:val="0"/>
                <w:bCs w:val="0"/>
                <w:i w:val="0"/>
                <w:iCs w:val="0"/>
                <w:smallCaps w:val="0"/>
                <w:color w:val="000000"/>
              </w:rPr>
            </w:pPr>
          </w:p>
        </w:tc>
      </w:tr>
      <w:tr>
        <w:tblPrEx>
          <w:tblW w:w="12237" w:type="dxa"/>
          <w:jc w:val="center"/>
          <w:tblInd w:w="16" w:type="dxa"/>
          <w:tblCellMar>
            <w:top w:w="0" w:type="dxa"/>
            <w:left w:w="0" w:type="dxa"/>
            <w:bottom w:w="0" w:type="dxa"/>
            <w:right w:w="0" w:type="dxa"/>
          </w:tblCellMar>
        </w:tblPrEx>
        <w:trPr>
          <w:jc w:val="center"/>
        </w:trPr>
        <w:tc>
          <w:tcPr>
            <w:tcW w:w="1000" w:type="pct"/>
            <w:tcBorders>
              <w:top w:val="single" w:sz="6" w:space="0" w:color="3E3E3E"/>
              <w:left w:val="single" w:sz="6" w:space="0" w:color="3E3E3E"/>
              <w:bottom w:val="single" w:sz="6" w:space="0" w:color="3E3E3E"/>
              <w:right w:val="single" w:sz="6" w:space="0" w:color="3E3E3E"/>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75" w:right="75"/>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汉语言文学</w:t>
            </w:r>
          </w:p>
          <w:p>
            <w:pPr>
              <w:pBdr>
                <w:top w:val="none" w:sz="0" w:space="0" w:color="auto"/>
                <w:left w:val="none" w:sz="0" w:space="0" w:color="auto"/>
                <w:bottom w:val="none" w:sz="0" w:space="0" w:color="auto"/>
                <w:right w:val="none" w:sz="0" w:space="0" w:color="auto"/>
              </w:pBdr>
              <w:spacing w:before="0" w:after="168" w:line="408" w:lineRule="atLeast"/>
              <w:ind w:left="75" w:right="75"/>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（古文</w:t>
            </w:r>
            <w:r>
              <w:rPr>
                <w:rFonts w:ascii="Microsoft YaHei" w:eastAsia="Microsoft YaHei" w:hAnsi="Microsoft YaHei" w:cs="Microsoft YaHei"/>
                <w:b w:val="0"/>
                <w:bCs w:val="0"/>
                <w:i w:val="0"/>
                <w:iCs w:val="0"/>
                <w:smallCaps w:val="0"/>
                <w:color w:val="000000"/>
              </w:rPr>
              <w:t>字学）</w:t>
            </w:r>
          </w:p>
        </w:tc>
        <w:tc>
          <w:tcPr>
            <w:tcW w:w="1000" w:type="pct"/>
            <w:tcBorders>
              <w:top w:val="single" w:sz="6" w:space="0" w:color="3E3E3E"/>
              <w:left w:val="single" w:sz="6" w:space="0" w:color="3E3E3E"/>
              <w:bottom w:val="single" w:sz="6" w:space="0" w:color="3E3E3E"/>
              <w:right w:val="single" w:sz="6" w:space="0" w:color="3E3E3E"/>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75" w:right="75"/>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不限</w:t>
            </w:r>
          </w:p>
        </w:tc>
        <w:tc>
          <w:tcPr>
            <w:tcW w:w="1000" w:type="pct"/>
            <w:tcBorders>
              <w:top w:val="single" w:sz="6" w:space="0" w:color="3E3E3E"/>
              <w:left w:val="single" w:sz="6" w:space="0" w:color="3E3E3E"/>
              <w:bottom w:val="single" w:sz="6" w:space="0" w:color="3E3E3E"/>
              <w:right w:val="single" w:sz="6" w:space="0" w:color="3E3E3E"/>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75" w:right="75"/>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历史</w:t>
            </w:r>
          </w:p>
        </w:tc>
        <w:tc>
          <w:tcPr>
            <w:tcW w:w="1000" w:type="pct"/>
            <w:tcBorders>
              <w:top w:val="single" w:sz="6" w:space="0" w:color="3E3E3E"/>
              <w:left w:val="single" w:sz="6" w:space="0" w:color="3E3E3E"/>
              <w:bottom w:val="single" w:sz="6" w:space="0" w:color="3E3E3E"/>
              <w:right w:val="single" w:sz="6" w:space="0" w:color="3E3E3E"/>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75" w:right="75"/>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不限</w:t>
            </w:r>
          </w:p>
        </w:tc>
        <w:tc>
          <w:tcPr>
            <w:vMerge/>
            <w:tcBorders>
              <w:top w:val="single" w:sz="6" w:space="0" w:color="3E3E3E"/>
              <w:left w:val="single" w:sz="6" w:space="0" w:color="3E3E3E"/>
              <w:bottom w:val="single" w:sz="6" w:space="0" w:color="3E3E3E"/>
              <w:right w:val="single" w:sz="6" w:space="0" w:color="3E3E3E"/>
            </w:tcBorders>
            <w:vAlign w:val="center"/>
            <w:hideMark/>
          </w:tcPr>
          <w:p>
            <w:pPr>
              <w:rPr>
                <w:rFonts w:ascii="Microsoft YaHei" w:eastAsia="Microsoft YaHei" w:hAnsi="Microsoft YaHei" w:cs="Microsoft YaHei"/>
                <w:b w:val="0"/>
                <w:bCs w:val="0"/>
                <w:i w:val="0"/>
                <w:iCs w:val="0"/>
                <w:smallCaps w:val="0"/>
                <w:color w:val="000000"/>
              </w:rPr>
            </w:pPr>
          </w:p>
        </w:tc>
      </w:tr>
    </w:tbl>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注：所有考生只能填报一个专业志愿。第二类考生只能报考获奖学科对应的招生专业（其中信息学奥林匹克竞赛对应数学与应用数学专业或物理学专业）。</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报考我校强基计划的考生不能兼报其他高校，详细分省分专业招生计划请登录我校强基计划报名系统查看。</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　三、报名方式与选拔程序</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（一）报名时间和办法</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4月11日0:00-4月28日17:00考生可登录南开大学强基计划报名平台（网址：https://bm.chsi.com.cn/jcxkzs/sch/10055），按要求准确、完整地完成网上报名。</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（二）考生参加统一高考</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（三）入围校考办法</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高考成绩公布后，对于第一类考生，依据高考总成绩（不含任何政策加分，下同）排序，按我校分省分专业招生计划数的6倍确定各省入围我校考核考生名单，并公示入围标准。若末位考生高考总成绩相同且符合入围条件，则同时入围，即末位同分均入围。对于第二类考生，达到学校破格入围条件和相应高考成绩要求，即可入围，不占用第一类考生的入围名额。</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以上两类考生高考总成绩均须达到所在省（自治区、直辖市）第一批本科录取控制分数线。对于合并本科批次的省份，参照该省份确定的部分特殊类型相应最低录取控制分数线执行。</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（四）学校考核</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考生须在6月11日9:00-6月19日17:00登录报名系统确认是否参加我校强基计划考核并签订承诺书，在规定时间内打印准考证。未确认参加者视为放弃我校强基考核及后续录取环节。对于确认参加学校考核又无故放弃的考生，我校通报生源省份省级招生考试机构并如实记入诚信档案。</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6月底举行学校考核（含面试和体质测试）。面试采取专家、考生“双随机”抽签的方式，测试全程录音录像。考试地点及考试时间具体安排情况详见准考证，准考证信息查看及下载打印的具体开放时间详见报名平台个人报名账号内的通知。</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1.面试重点考察考生的综合素质及专业能力。面试成绩根据面试情况和考生综合素质档案综合得出。</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体质测试项目为身高、体重、立定跳远、坐位体前屈，测试结果作为学校考核的重要参考。因身体等特殊原因无法参加体质测试的考生需提交三级甲等医院证明，经我校审核同意后可不参加体质测试。学校考核面试成绩和高考总成绩均相同情况下，优先录取参加体质测试考生且体质测试成绩更高者。</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3.对于第二类考生，我校将根据其学科特长单独进行考核。</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4.如遇不可抗力因素，招生流程所作调整将另行通知。</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（五）录取办法</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1.综合成绩折算办法</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综合成绩=高考总成绩×85/高考满分值+学校考核面试成绩×15/学校考核面试满分值</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2.确定录取名单</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对于第一类考生，根据考生填报志愿和在相关省份强基计划的招生名额，按我校确定录取使用的综合成绩由高到低顺序确定强基计划预录取名单，综合成绩同分情况下优先录取高考总成绩高的考生。</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对于第二类考生，综合成绩达到同省份同科类第一类考生最低录取分数线的，予以录取，所需计划不占用第一类考生强基计划名额。</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校招生工作领导小组按招生计划审定强基计划预录取名单，并报各省级招办审核，办理录取手续。</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我校于7月5日前公布录取名单并公示录取标准。被正式录取的考生不再参加本省（区、市）后续高考志愿录取；未被录取的考生可正常参加本省（区、市）后续各批次高考志愿录取。</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　四、培养方案</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我校强基计划培养模式体现为“一制三化”“交叉培养”“动态进出”，在教学组织方面按照导师制、小班化、个性化、国际合作与交流的模式，组织课程学习和科研训练；在培养方面坚持以基础学科为本源，开展多学科交叉融合，给未来高阶发展方向培养夯实基础；在培养过程设有“动态进出”机制，确保强基计划培养工作保持高水平，培养的人才保证高质量。</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具体培养方案详见强基计划报名网站通知公告内各专业强基计划介绍。</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五、其他说明</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一）关于学生综合素质档案。已建立省级统一信息平台的省份，由省级教育行政部门统一上传至强基计划报名系统；尚未建立省级统一信息平台的省份，由各省级教育行政部门汇总本地各中学报考学生的综合素质档案后，统一上传至强基计划报名系统。</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二）对于综合素质档案造假或在高校考核中舞弊的考生，将取消强基计划的报名、考试和录取资格，并将有关情况通报有关省级招生考试机构或教育行政部门，取消其当年高考报名、考试和录取资格，并视情节轻重给予3年内暂停参加各类国家教育考试的处理。已经入学的，按教育部和我校相关规定处理，取消学籍，毕业后发现的取消毕业证、学位证。中学应当对所出具的材料认真核实，出现弄虚作假情形的，我校保留采取相关措施的权利。</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（三）强基计划录取考生入学后本科阶段原则上不允许转专业。</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（四）选拔测试期间，考生的交通、食宿等费用自理。入围学校考核的家庭经济困难考生可向我校提出申请，我校可酌情提供保障性路费和住宿补贴。</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（五）学校未委托任何个人或中介组织开展强基计划等考试招生有关工作，不举办任何形式的营利性培训活动。</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　六、监督保障机制</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（一）我校强基计划招生工作在南开大学招生工作领导小组的领导下，由南开大学招生办公室负责具体工作的组织和实施。我校在实施本简章的过程中做到招生方案公开、选拔方法公平、录取标准公示。</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（二）我校将对录取的学生进行入学资格复查，对不具备入学资格的学生，按教育部相关规定处理。</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（三）南开大学强基计划招生工作接受南开大学纪检部门全程监督，并接受社会监督。</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七、咨询方式</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（一）招生办公室</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咨询电话：022-60365167、23504845</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传真：022-23501669</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电子邮箱：zhshb@nankai.edu.cn</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南开大学本科招生网：zsb.nankai.edu.cn</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（二）各学院培养政策咨询电话</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数学科学学院：宋老师 022-23508372</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物理科学学院：程老师 022-23508052</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化学学院：刘老师 022-23508841</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生命科学学院：王老师 022-23508897</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历史学院：谢老师 022-85358998</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哲学院：王老师 022-23508268</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文学院：甘老师 022-23501368</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（三）纪委办公室电话：022-85358691</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地址：天津市南开区卫津路94号</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邮编：300071</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阳光高考信息平台：gaokao.chsi.com.cn</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b/>
          <w:bCs/>
          <w:color w:val="333333"/>
        </w:rPr>
        <w:t>　　八、本简章由南开大学招生办公室负责解释。</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天津大学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年强基计划招生简章</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天津大学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年高校专项</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筑梦计划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招生简章</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天津大学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年高校专项</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筑梦计划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4" w:history="1">
        <w:r>
          <w:rPr>
            <w:rFonts w:ascii="SimSun" w:eastAsia="SimSun" w:hAnsi="SimSun" w:cs="SimSun"/>
            <w:color w:val="0000EE"/>
            <w:u w:val="single" w:color="0000EE"/>
          </w:rPr>
          <w:t>天津大学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南开大学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年外国语言文学类专业保送生简章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天津职业大学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天津中德应用技术大学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年普通本科高职招生章程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天津城建大学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河北工业大学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天津商业大学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天津财经大学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年普通本科招生章程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天津外国语大学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年普通本科招生章程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天津商业大学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tianjin/2022/0529/22570.html" TargetMode="External" /><Relationship Id="rId11" Type="http://schemas.openxmlformats.org/officeDocument/2006/relationships/hyperlink" Target="http://www.gk114.com/a/gxzs/zszc/tianjin/2022/0529/22569.html" TargetMode="External" /><Relationship Id="rId12" Type="http://schemas.openxmlformats.org/officeDocument/2006/relationships/hyperlink" Target="http://www.gk114.com/a/gxzs/zszc/tianjin/2022/0529/22567.html" TargetMode="External" /><Relationship Id="rId13" Type="http://schemas.openxmlformats.org/officeDocument/2006/relationships/hyperlink" Target="http://www.gk114.com/a/gxzs/zszc/tianjin/2022/0529/22566.html" TargetMode="External" /><Relationship Id="rId14" Type="http://schemas.openxmlformats.org/officeDocument/2006/relationships/hyperlink" Target="http://www.gk114.com/a/gxzs/zszc/tianjin/2022/0529/22563.html" TargetMode="External" /><Relationship Id="rId15" Type="http://schemas.openxmlformats.org/officeDocument/2006/relationships/hyperlink" Target="http://www.gk114.com/a/gxzs/zszc/tianjin/2019/0221/6376.html" TargetMode="External" /><Relationship Id="rId16" Type="http://schemas.openxmlformats.org/officeDocument/2006/relationships/theme" Target="theme/theme1.xml" /><Relationship Id="rId17" Type="http://schemas.openxmlformats.org/officeDocument/2006/relationships/numbering" Target="numbering.xml" /><Relationship Id="rId18"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tianjin/2023/0410/26644.html" TargetMode="External" /><Relationship Id="rId5" Type="http://schemas.openxmlformats.org/officeDocument/2006/relationships/hyperlink" Target="http://www.gk114.com/a/gxzs/zszc/tianjin/2023/0413/26750.html" TargetMode="External" /><Relationship Id="rId6" Type="http://schemas.openxmlformats.org/officeDocument/2006/relationships/hyperlink" Target="http://www.gk114.com/a/gxzs/zszc/tianjin/" TargetMode="External" /><Relationship Id="rId7" Type="http://schemas.openxmlformats.org/officeDocument/2006/relationships/hyperlink" Target="http://www.gk114.com/a/gxzs/zszc/tianjin/2022/1225/23937.html" TargetMode="External" /><Relationship Id="rId8" Type="http://schemas.openxmlformats.org/officeDocument/2006/relationships/hyperlink" Target="http://www.gk114.com/a/gxzs/zszc/tianjin/2022/0529/22575.html" TargetMode="External" /><Relationship Id="rId9" Type="http://schemas.openxmlformats.org/officeDocument/2006/relationships/hyperlink" Target="http://www.gk114.com/a/gxzs/zszc/tianjin/2022/0529/2257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