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合肥工业大学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w:t>
      </w:r>
      <w:r>
        <w:rPr>
          <w:rFonts w:ascii="Times New Roman" w:eastAsia="Times New Roman" w:hAnsi="Times New Roman" w:cs="Times New Roman"/>
        </w:rPr>
        <w:t>2018</w:t>
      </w:r>
      <w:r>
        <w:rPr>
          <w:rFonts w:ascii="SimSun" w:eastAsia="SimSun" w:hAnsi="SimSun" w:cs="SimSun"/>
        </w:rPr>
        <w:t>年普通高等学校招生工作相关文件精神，制订本章程。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学校名称为合肥工业大学，简称合工大；英文译名为</w:t>
      </w:r>
      <w:r>
        <w:rPr>
          <w:rFonts w:ascii="Times New Roman" w:eastAsia="Times New Roman" w:hAnsi="Times New Roman" w:cs="Times New Roman"/>
        </w:rPr>
        <w:t>Hefei University of Technology</w:t>
      </w:r>
      <w:r>
        <w:rPr>
          <w:rFonts w:ascii="SimSun" w:eastAsia="SimSun" w:hAnsi="SimSun" w:cs="SimSun"/>
        </w:rPr>
        <w:t>，英文缩写为</w:t>
      </w:r>
      <w:r>
        <w:rPr>
          <w:rFonts w:ascii="Times New Roman" w:eastAsia="Times New Roman" w:hAnsi="Times New Roman" w:cs="Times New Roman"/>
        </w:rPr>
        <w:t>HFUT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学校是一所公办普通本科院校，是国家教育部直属全国重点大学、国家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优势学科创新平台建设高校，是教育部、工业和信息化部与安徽省共建高校。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学校现有屯溪路校区、翡翠湖校区、宣城校区。屯溪路校区、翡翠湖校区坐落在安徽省合肥市，两个校区统称为合肥校区，院校国标代码</w:t>
      </w:r>
      <w:r>
        <w:rPr>
          <w:rFonts w:ascii="Times New Roman" w:eastAsia="Times New Roman" w:hAnsi="Times New Roman" w:cs="Times New Roman"/>
        </w:rPr>
        <w:t>10359</w:t>
      </w:r>
      <w:r>
        <w:rPr>
          <w:rFonts w:ascii="SimSun" w:eastAsia="SimSun" w:hAnsi="SimSun" w:cs="SimSun"/>
        </w:rPr>
        <w:t>；宣城校区坐落在安徽省宣城市，院校国标代码</w:t>
      </w:r>
      <w:r>
        <w:rPr>
          <w:rFonts w:ascii="Times New Roman" w:eastAsia="Times New Roman" w:hAnsi="Times New Roman" w:cs="Times New Roman"/>
        </w:rPr>
        <w:t>19359</w:t>
      </w:r>
      <w:r>
        <w:rPr>
          <w:rFonts w:ascii="SimSun" w:eastAsia="SimSun" w:hAnsi="SimSun" w:cs="SimSun"/>
        </w:rPr>
        <w:t>。统一颁发</w:t>
      </w:r>
      <w:r>
        <w:rPr>
          <w:rFonts w:ascii="Times New Roman" w:eastAsia="Times New Roman" w:hAnsi="Times New Roman" w:cs="Times New Roman"/>
        </w:rPr>
        <w:t>“</w:t>
      </w:r>
      <w:r>
        <w:rPr>
          <w:rFonts w:ascii="SimSun" w:eastAsia="SimSun" w:hAnsi="SimSun" w:cs="SimSun"/>
        </w:rPr>
        <w:t>合肥工业大学毕业证书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学校本科招生对象为参加普通高考的考生（含普通统招生、艺术类、高水平运动队、少数民族预科生、内地新疆西藏高中班、自主招生、国家专项、高校专项计划）。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保证招生录取工作顺利进行，学校成立由校长任主任，党委副书记、纪委书记，分管校长任副主任，校友代表、教师代表、学生代表以及学术委员会、招生办公室等部门主要负责人任成员的校招生委员会。招生委员会主要职责为听取学校年度招生工作总结；研究分析招生工作面临的问题，为学校招生工作提供咨询意见；对招生来源计划的编制原则进行审定；对各类招生工作的全过程进行监督检查等。在招生委员会指导下，学校成立由校长任组长，分管校长，纪委书记任副组长，教务部、监察处和招生办公室等部门主要负责人任组员的招生工作领导小组，整体指挥、协调、监督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招生办公室是学校组织和实施本科招生工作的常设机构，在招生工作领导小组的领导下，具体负责本科招生日常工作。纪委监察办公室为学校招生监督机构。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发展规划、人才培养、办学条件、就业状况等实际情况，统筹考虑各省（直辖市、自治区）高考人数、生源质量、区域协调发展及重点支持政策等因素，确定来源计划编制原则和办法，最终确定分省分专业招生计划，并报教育部审批。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年学校计划招收普通本科生</w:t>
      </w:r>
      <w:r>
        <w:rPr>
          <w:rFonts w:ascii="Times New Roman" w:eastAsia="Times New Roman" w:hAnsi="Times New Roman" w:cs="Times New Roman"/>
        </w:rPr>
        <w:t>8200</w:t>
      </w:r>
      <w:r>
        <w:rPr>
          <w:rFonts w:ascii="SimSun" w:eastAsia="SimSun" w:hAnsi="SimSun" w:cs="SimSun"/>
        </w:rPr>
        <w:t>人，其中合肥校区招生</w:t>
      </w:r>
      <w:r>
        <w:rPr>
          <w:rFonts w:ascii="Times New Roman" w:eastAsia="Times New Roman" w:hAnsi="Times New Roman" w:cs="Times New Roman"/>
        </w:rPr>
        <w:t>5900</w:t>
      </w:r>
      <w:r>
        <w:rPr>
          <w:rFonts w:ascii="SimSun" w:eastAsia="SimSun" w:hAnsi="SimSun" w:cs="SimSun"/>
        </w:rPr>
        <w:t>人，宣城校区招生</w:t>
      </w:r>
      <w:r>
        <w:rPr>
          <w:rFonts w:ascii="Times New Roman" w:eastAsia="Times New Roman" w:hAnsi="Times New Roman" w:cs="Times New Roman"/>
        </w:rPr>
        <w:t>2300</w:t>
      </w:r>
      <w:r>
        <w:rPr>
          <w:rFonts w:ascii="SimSun" w:eastAsia="SimSun" w:hAnsi="SimSun" w:cs="SimSun"/>
        </w:rPr>
        <w:t>人。学校不设预留计划。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如个别省（直辖市、自治区）招生计划未能完成，将征集志愿。征集志愿仍不足则将剩余计划调剂到其他生源质量好的省份完成招生计划。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入学考核与考试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考生均须参加全国普通高等学校统一招生考试（通过我校专项测试合格、国家体育总局统一组织的单独招生文化课考试达合格线且已被预录取的一级运动员除外）。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学校自主招生、高校专项计划、高水平运动队合格名单实行学校、省级招生主管部门以及教育部阳光高考平台三级网上公示。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学校合肥校区和宣城校区招生院校代码独立，分开录取，两校区之间学生不能互转。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根据教育部规定，按照平行志愿投档的批次，调档比例原则上控制在</w:t>
      </w:r>
      <w:r>
        <w:rPr>
          <w:rFonts w:ascii="Times New Roman" w:eastAsia="Times New Roman" w:hAnsi="Times New Roman" w:cs="Times New Roman"/>
        </w:rPr>
        <w:t>105%</w:t>
      </w:r>
      <w:r>
        <w:rPr>
          <w:rFonts w:ascii="SimSun" w:eastAsia="SimSun" w:hAnsi="SimSun" w:cs="SimSun"/>
        </w:rPr>
        <w:t>以内。录取时根据各省（直辖市、自治区）模拟投档情况对调档比例进行适当调整。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承认教育部规定的全国性加分政策，对各省（直辖市、自治区）级招生主管部门在教育部相关政策之外确定的地方性政策加分学校不予认可。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学校投档要求的情况下，依据考生投档成绩和专业志愿，由高分至低分顺序录取并分配专业，不设专业志愿级差。在投档成绩相同情况下，优先录取相关科目分数高者。相关科目分数比较顺序：文史类考生依次比较文科综合、语文、数学、外语，理工类考生依次比较理科综合、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江苏省进档考生按先分数后等级排序方式，结合考生专业志愿和综合素质评价等指标，决定考生录取与否和所录专业。学业水平选测科目成绩等级要求必须为</w:t>
      </w:r>
      <w:r>
        <w:rPr>
          <w:rFonts w:ascii="Times New Roman" w:eastAsia="Times New Roman" w:hAnsi="Times New Roman" w:cs="Times New Roman"/>
        </w:rPr>
        <w:t>“</w:t>
      </w:r>
      <w:r>
        <w:rPr>
          <w:rFonts w:ascii="SimSun" w:eastAsia="SimSun" w:hAnsi="SimSun" w:cs="SimSun"/>
        </w:rPr>
        <w:t>双</w:t>
      </w:r>
      <w:r>
        <w:rPr>
          <w:rFonts w:ascii="Times New Roman" w:eastAsia="Times New Roman" w:hAnsi="Times New Roman" w:cs="Times New Roman"/>
        </w:rPr>
        <w:t>B”</w:t>
      </w:r>
      <w:r>
        <w:rPr>
          <w:rFonts w:ascii="SimSun" w:eastAsia="SimSun" w:hAnsi="SimSun" w:cs="SimSun"/>
        </w:rPr>
        <w:t>及以上，不另加分。投档成绩相同者，比较其物理（理科）或历史（文科）科目等级，等级高者优先录取；等级相同者，依次比较数学、语文、外语。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内蒙古自治区进档考生实行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浙江省考生由浙江省教育考试院按其有关规定直接投档到专业。上海市考生由上海市教育考试院按其相关规定投档；投档分相同的考生安排专业时参考上海市教育考试院同分投档的规则执行。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符合普通高等学校招生报名条件并取得</w:t>
      </w:r>
      <w:r>
        <w:rPr>
          <w:rFonts w:ascii="Times New Roman" w:eastAsia="Times New Roman" w:hAnsi="Times New Roman" w:cs="Times New Roman"/>
        </w:rPr>
        <w:t>2018</w:t>
      </w:r>
      <w:r>
        <w:rPr>
          <w:rFonts w:ascii="SimSun" w:eastAsia="SimSun" w:hAnsi="SimSun" w:cs="SimSun"/>
        </w:rPr>
        <w:t>年所在省艺术类专业统考合格资格的考生，无色盲、色弱，方可报考我校艺术类专业。执行生源省份录取办法；如所在省无明确规定，学校按综合分（省统考专业分</w:t>
      </w:r>
      <w:r>
        <w:rPr>
          <w:rFonts w:ascii="Times New Roman" w:eastAsia="Times New Roman" w:hAnsi="Times New Roman" w:cs="Times New Roman"/>
        </w:rPr>
        <w:t>/</w:t>
      </w:r>
      <w:r>
        <w:rPr>
          <w:rFonts w:ascii="SimSun" w:eastAsia="SimSun" w:hAnsi="SimSun" w:cs="SimSun"/>
        </w:rPr>
        <w:t>省统考专业满分</w:t>
      </w:r>
      <w:r>
        <w:rPr>
          <w:rFonts w:ascii="Times New Roman" w:eastAsia="Times New Roman" w:hAnsi="Times New Roman" w:cs="Times New Roman"/>
        </w:rPr>
        <w:t xml:space="preserve">×700 </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 300</w:t>
      </w:r>
      <w:r>
        <w:rPr>
          <w:rFonts w:ascii="SimSun" w:eastAsia="SimSun" w:hAnsi="SimSun" w:cs="SimSun"/>
        </w:rPr>
        <w:t>）择优录取。综合分相同时，省统考专业成绩高者优先。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对参加学校测试合格并经阳光高考平台公示资格认定的考生（含自主招生、高校专项计划、高水平运动队），按生源地省级招生考试机构的统一安排和学校要求填报志愿。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自主招生、高校专项计划、高水平运动队、民族预科生均依据教育部和学校有关招生政策执行；港澳台侨按照国家相关部门的规定执行；内地西藏班、新疆班高中毕业生的招生录取工作在教育部领导下进行。学校按照国家相关规定承担</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，面向集中连片特殊困难地区参加全国统考的考生招生。国家专项计划实行单报志愿、单设批次、单独划线。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英语专业限英语考生报考，其他专业外语语种不限。英语专业考生需外语口试。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建筑学、城乡规划、风景园林、广告学专业需要美术基础，但不用加试。其中建筑学、城乡规划专业学制为五年。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经济与贸易类（国际经济与贸易）专业属于教育部批准纳入计划内招生的中外合作办学项目，参加各省（直辖市、自治区）第一批次录取，录取分数线不低于第一批次录取控制分数线</w:t>
      </w:r>
      <w:r>
        <w:rPr>
          <w:rFonts w:ascii="Times New Roman" w:eastAsia="Times New Roman" w:hAnsi="Times New Roman" w:cs="Times New Roman"/>
        </w:rPr>
        <w:t>(</w:t>
      </w:r>
      <w:r>
        <w:rPr>
          <w:rFonts w:ascii="SimSun" w:eastAsia="SimSun" w:hAnsi="SimSun" w:cs="SimSun"/>
        </w:rPr>
        <w:t>对合并本科批次的省份，</w:t>
      </w:r>
      <w:r>
        <w:rPr>
          <w:rFonts w:ascii="Times New Roman" w:eastAsia="Times New Roman" w:hAnsi="Times New Roman" w:cs="Times New Roman"/>
        </w:rPr>
        <w:t>“</w:t>
      </w:r>
      <w:r>
        <w:rPr>
          <w:rFonts w:ascii="SimSun" w:eastAsia="SimSun" w:hAnsi="SimSun" w:cs="SimSun"/>
        </w:rPr>
        <w:t>第一批次本科录取分数线</w:t>
      </w:r>
      <w:r>
        <w:rPr>
          <w:rFonts w:ascii="Times New Roman" w:eastAsia="Times New Roman" w:hAnsi="Times New Roman" w:cs="Times New Roman"/>
        </w:rPr>
        <w:t>”</w:t>
      </w:r>
      <w:r>
        <w:rPr>
          <w:rFonts w:ascii="SimSun" w:eastAsia="SimSun" w:hAnsi="SimSun" w:cs="SimSun"/>
        </w:rPr>
        <w:t>按省级教育行政部门或招生考试机构确定的相应最低录取控制分数线执行）。仅录取填报该专业志愿的理工类考生，依据考生高考成绩由高到低依次录取。该专业学生入学后不能转专业。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按艺术类专业录取的考生，入学后不得转入非艺术类专业；按高水平运动队招生录取的考生，入学后不能转专业。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学校执行教育部、卫生部和中国残疾人联合会引发的《普通高等学校招生体检工作指导意见》及有关补充规定执行。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学校未委托任何机构和个人参与学校的各类本科招生培训、宣传、录取工作。未经过各省级招生部门提供电子档案的考生，一律不予录取。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考生可以向所在省（直辖市、自治区）招生主管部门或学校招生办公室电话查询录取结果，也可登录学校本科招生网查询录取结果。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进校时，必须携带录取通知书和本人身份证，以便核对身份。开学后，学校将对全体新生录取资格进行复查。经复查发现不符合录取条件或弄虚作假者，将取消其入学资格，并报生源所在省（直辖市、自治区）招生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学校组织各类勤工助学活动帮助经济困难学生完成自己的学业。家庭经济困难新生，可持当地乡镇以上证明，在入学后向学生资助中心申请办理国家助学贷款。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按照国家规定，学生入学须交纳学费和住宿费等有关费用。合肥工业大学按学生每学年实际所修学分和学籍注册费统一结算学费，在每学年开学注册前按学年制的标准预收。学费标准以安徽省物价局核定数额为准。住宿费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本科招生办公室联系方式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0551</w:t>
      </w:r>
      <w:r>
        <w:rPr>
          <w:rFonts w:ascii="SimSun" w:eastAsia="SimSun" w:hAnsi="SimSun" w:cs="SimSun"/>
        </w:rPr>
        <w:t>）</w:t>
      </w:r>
      <w:r>
        <w:rPr>
          <w:rFonts w:ascii="Times New Roman" w:eastAsia="Times New Roman" w:hAnsi="Times New Roman" w:cs="Times New Roman"/>
        </w:rPr>
        <w:t xml:space="preserve">62902397  62902387  62902327 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地址：安徽省合肥市屯溪路</w:t>
      </w:r>
      <w:r>
        <w:rPr>
          <w:rFonts w:ascii="Times New Roman" w:eastAsia="Times New Roman" w:hAnsi="Times New Roman" w:cs="Times New Roman"/>
        </w:rPr>
        <w:t>193</w:t>
      </w:r>
      <w:r>
        <w:rPr>
          <w:rFonts w:ascii="SimSun" w:eastAsia="SimSun" w:hAnsi="SimSun" w:cs="SimSun"/>
        </w:rPr>
        <w:t>号（</w:t>
      </w:r>
      <w:r>
        <w:rPr>
          <w:rFonts w:ascii="Times New Roman" w:eastAsia="Times New Roman" w:hAnsi="Times New Roman" w:cs="Times New Roman"/>
        </w:rPr>
        <w:t>230009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http://bkzs.hfut.edu.cn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hfutzb@hfut.edu.cn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微信公众号：合肥工业大学招生办公室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 xml:space="preserve">(0551)62901024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本章程由合肥工业大学招生办公室负责解释。本章程自公布之日起施行。原招生章程同时废止。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安徽水利水电职业技术学院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71.html" TargetMode="External" /><Relationship Id="rId11" Type="http://schemas.openxmlformats.org/officeDocument/2006/relationships/hyperlink" Target="http://www.gk114.com/a/gxzs/zszc/anhui/2019/0222/6670.html" TargetMode="External" /><Relationship Id="rId12" Type="http://schemas.openxmlformats.org/officeDocument/2006/relationships/hyperlink" Target="http://www.gk114.com/a/gxzs/zszc/anhui/2019/0222/6669.html" TargetMode="External" /><Relationship Id="rId13" Type="http://schemas.openxmlformats.org/officeDocument/2006/relationships/hyperlink" Target="http://www.gk114.com/a/gxzs/zszc/anhui/2019/0222/6668.html" TargetMode="External" /><Relationship Id="rId14" Type="http://schemas.openxmlformats.org/officeDocument/2006/relationships/hyperlink" Target="http://www.gk114.com/a/gxzs/zszc/anhui/2019/0222/6667.html" TargetMode="External" /><Relationship Id="rId15" Type="http://schemas.openxmlformats.org/officeDocument/2006/relationships/hyperlink" Target="http://www.gk114.com/a/gxzs/zszc/anhui/2019/0222/6666.html" TargetMode="External" /><Relationship Id="rId16" Type="http://schemas.openxmlformats.org/officeDocument/2006/relationships/hyperlink" Target="http://www.gk114.com/a/gxzs/zszc/anhui/2019/0222/6665.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21/0605/19721.html" TargetMode="External" /><Relationship Id="rId19" Type="http://schemas.openxmlformats.org/officeDocument/2006/relationships/hyperlink" Target="http://www.gk114.com/a/gxzs/zszc/anhui/2021/0531/19677.html" TargetMode="External" /><Relationship Id="rId2" Type="http://schemas.openxmlformats.org/officeDocument/2006/relationships/webSettings" Target="webSettings.xml" /><Relationship Id="rId20" Type="http://schemas.openxmlformats.org/officeDocument/2006/relationships/hyperlink" Target="http://www.gk114.com/a/gxzs/zszc/anhui/2019/0222/664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25.html" TargetMode="External" /><Relationship Id="rId5" Type="http://schemas.openxmlformats.org/officeDocument/2006/relationships/hyperlink" Target="http://www.gk114.com/a/gxzs/zszc/anhui/2019/0222/6628.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220/21761.html" TargetMode="External" /><Relationship Id="rId9" Type="http://schemas.openxmlformats.org/officeDocument/2006/relationships/hyperlink" Target="http://www.gk114.com/a/gxzs/zszc/anhui/2019/0222/66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