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吉林农业大学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本章程适用于学校今年普通高等教育的本科层次招生工作。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学校全称：吉林农业大学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学校地址：吉林省长春市净月国家高新技术产业开发区新城大街</w:t>
      </w:r>
      <w:r>
        <w:rPr>
          <w:rFonts w:ascii="Times New Roman" w:eastAsia="Times New Roman" w:hAnsi="Times New Roman" w:cs="Times New Roman"/>
        </w:rPr>
        <w:t>2888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按专业类招生的学费标准：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工商管理类、生物科学类、生物工程类、植物生产类（</w:t>
      </w:r>
      <w:r>
        <w:rPr>
          <w:rFonts w:ascii="Times New Roman" w:eastAsia="Times New Roman" w:hAnsi="Times New Roman" w:cs="Times New Roman"/>
        </w:rPr>
        <w:t>I</w:t>
      </w:r>
      <w:r>
        <w:rPr>
          <w:rFonts w:ascii="SimSun" w:eastAsia="SimSun" w:hAnsi="SimSun" w:cs="SimSun"/>
        </w:rPr>
        <w:t>、</w:t>
      </w:r>
      <w:r>
        <w:rPr>
          <w:rFonts w:ascii="Times New Roman" w:eastAsia="Times New Roman" w:hAnsi="Times New Roman" w:cs="Times New Roman"/>
        </w:rPr>
        <w:t>II</w:t>
      </w:r>
      <w:r>
        <w:rPr>
          <w:rFonts w:ascii="SimSun" w:eastAsia="SimSun" w:hAnsi="SimSun" w:cs="SimSun"/>
        </w:rPr>
        <w:t>）、自然保护与环境生态类、环境科学与工程类、机械类、动物生产类、中药学类、食品科学与工程类、社会学类学费标准为每生每学年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金融学类学费标准为每生每学年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新闻传播学类学费标准为每生每学年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计算机类学费标准为每生每学年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按专业招生的学费标准：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园艺教育专业学费标准为每生每学年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应用心理学专业、园林专业、应用化学专业学费标准为每生每学年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动物药学专业学费标准为每生每学年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风景园林专业学费标准为每生每学年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电子信息科学与技术专业学费标准为每生每学年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生物技术（中外合作办学）专业学费标准为每生每学年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按专业类录取的学生，第</w:t>
      </w:r>
      <w:r>
        <w:rPr>
          <w:rFonts w:ascii="Times New Roman" w:eastAsia="Times New Roman" w:hAnsi="Times New Roman" w:cs="Times New Roman"/>
        </w:rPr>
        <w:t>1—3</w:t>
      </w:r>
      <w:r>
        <w:rPr>
          <w:rFonts w:ascii="SimSun" w:eastAsia="SimSun" w:hAnsi="SimSun" w:cs="SimSun"/>
        </w:rPr>
        <w:t>学期学校实行通识教育培养，按照专业类收费标准收取；第</w:t>
      </w:r>
      <w:r>
        <w:rPr>
          <w:rFonts w:ascii="Times New Roman" w:eastAsia="Times New Roman" w:hAnsi="Times New Roman" w:cs="Times New Roman"/>
        </w:rPr>
        <w:t>4—8</w:t>
      </w:r>
      <w:r>
        <w:rPr>
          <w:rFonts w:ascii="SimSun" w:eastAsia="SimSun" w:hAnsi="SimSun" w:cs="SimSun"/>
        </w:rPr>
        <w:t>学期学校实行专业教育培养，按照所学专业收费标准收取。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按专业录取的学生，学校按照专业收费标准收取。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学生完成人才培养方案规定的内容，成绩合格，符合毕业条件，本科毕业生由吉林农业大学颁发国家规定的本科毕业证书。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退役士兵教育资助、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5 %</w:t>
      </w:r>
      <w:r>
        <w:rPr>
          <w:rFonts w:ascii="SimSun" w:eastAsia="SimSun" w:hAnsi="SimSun" w:cs="SimSun"/>
        </w:rPr>
        <w:t>的经费用于资助家庭经济困难学生。设立了专业奖学金、校长奖学金、社会捐赠奖助学金、新生入学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、勤工助学、学费减免、伙食补贴、临时困难补助等多种形式有机结合的学校家庭经济困难学生资助政策体系。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认定，由学校根据认定标准和程序，以民主评议方式认定，学校根据学生家庭经济困难认定结果，按照国家和学校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专业（类）培养对外语的要求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英语专业只招收英语语种考生，且要求英语单科最低成绩</w:t>
      </w:r>
      <w:r>
        <w:rPr>
          <w:rFonts w:ascii="Times New Roman" w:eastAsia="Times New Roman" w:hAnsi="Times New Roman" w:cs="Times New Roman"/>
        </w:rPr>
        <w:t>100</w:t>
      </w:r>
      <w:r>
        <w:rPr>
          <w:rFonts w:ascii="SimSun" w:eastAsia="SimSun" w:hAnsi="SimSun" w:cs="SimSun"/>
        </w:rPr>
        <w:t>分；生物技术（中外合作办学）专业主要课程用英语授课，非英语语种考生不宜报考；学校公共外语开设英语、俄语、日语，其他语种考生请慎重报考。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各专业（类）均不限男女比例。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按照教育部、卫生部、中国残疾人联合会制定的《普通高等学校招生体检工作指导意见》及相关规定执行。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（一）普通类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、学校在各省（区、市）同批次录取控制分数线上，严格按照各省（区、市）规定的比例调阅考生档案。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、学校以考生的投档分数进行专业（类）录取，录取时不设专业（类）志愿分数级差，以</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为原则，即按高分到低分排序，按照考生填报的专业（类）志愿顺序依次录取。在安排专业（类）时，学校承认各省级招生考试机构制定的照顾政策加分。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、同等条件下，按照外语、语文、数学、综合成绩的先后顺序，优先录取各科目成绩较高的考生。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所填报的专业（类）志愿均无法满足时，若服从专业（类）调剂，则可调剂到未录取满额并符合培养要求的专业（类）；未能按专业（类）志愿录取，且不服从专业（类）调剂的考生，则予以退档。所有专业（类）调剂考生的优先级均低于有专业（类）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、内蒙古自治区实行招生计划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范围内按专业（类）志愿排队录取。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、江苏省考生要求。考生的学业水平测试等级为选测科目成绩最低须达到</w:t>
      </w:r>
      <w:r>
        <w:rPr>
          <w:rFonts w:ascii="Times New Roman" w:eastAsia="Times New Roman" w:hAnsi="Times New Roman" w:cs="Times New Roman"/>
        </w:rPr>
        <w:t>2B</w:t>
      </w:r>
      <w:r>
        <w:rPr>
          <w:rFonts w:ascii="SimSun" w:eastAsia="SimSun" w:hAnsi="SimSun" w:cs="SimSun"/>
        </w:rPr>
        <w:t>，采用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的办法录取。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、中外合作办学专业录取原则：生物技术（中外合作办学）专业只录取有专业志愿的考生。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、对内地新疆高中班，少数民族预科班，国家、地方专项计划等，按国家相关政策录取。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学校中外合作办学项目是中国吉林农业大学与意大利卡麦利诺大学合作举办生物技术专业本科教育项目，学生完成规定课程考试合格，达到中国吉林农业大学学士学位授予条件的，授予吉林农业大学本科毕业证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、按专业类录取的学生，依据《吉林农业大学关于按大类招生培养与专业分流指导性意见》，学生第</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学期，在专业类内统一培养。第</w:t>
      </w:r>
      <w:r>
        <w:rPr>
          <w:rFonts w:ascii="Times New Roman" w:eastAsia="Times New Roman" w:hAnsi="Times New Roman" w:cs="Times New Roman"/>
        </w:rPr>
        <w:t>3</w:t>
      </w:r>
      <w:r>
        <w:rPr>
          <w:rFonts w:ascii="SimSun" w:eastAsia="SimSun" w:hAnsi="SimSun" w:cs="SimSun"/>
        </w:rPr>
        <w:t>学期，依据第</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学期所有必修课程的平均学分绩点排名和个人填报志愿次序进行专业分流。对分流后专业类内少于</w:t>
      </w:r>
      <w:r>
        <w:rPr>
          <w:rFonts w:ascii="Times New Roman" w:eastAsia="Times New Roman" w:hAnsi="Times New Roman" w:cs="Times New Roman"/>
        </w:rPr>
        <w:t>15</w:t>
      </w:r>
      <w:r>
        <w:rPr>
          <w:rFonts w:ascii="SimSun" w:eastAsia="SimSun" w:hAnsi="SimSun" w:cs="SimSun"/>
        </w:rPr>
        <w:t>人的专业当年停办，专业类内的全部学生须在不停办专业中重新进行分流。第</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8</w:t>
      </w:r>
      <w:r>
        <w:rPr>
          <w:rFonts w:ascii="SimSun" w:eastAsia="SimSun" w:hAnsi="SimSun" w:cs="SimSun"/>
        </w:rPr>
        <w:t>学期，进入分流后的各专业进行培养。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按专业录取的学生，不参与专业分流。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（二）艺术类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、考生必须参加其所在省级招生考试机构组织的美术类专业统一考试，且成绩合格，不承认其他学校的加试成绩。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、考生必须参加全国普通高等学校招生统一考试，成绩达到考生所在省艺术类本科录取最低控制分数线上。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、学校按考生文化课成绩总分的</w:t>
      </w:r>
      <w:r>
        <w:rPr>
          <w:rFonts w:ascii="Times New Roman" w:eastAsia="Times New Roman" w:hAnsi="Times New Roman" w:cs="Times New Roman"/>
        </w:rPr>
        <w:t>60%</w:t>
      </w:r>
      <w:r>
        <w:rPr>
          <w:rFonts w:ascii="SimSun" w:eastAsia="SimSun" w:hAnsi="SimSun" w:cs="SimSun"/>
        </w:rPr>
        <w:t>和专业课成绩总分的</w:t>
      </w:r>
      <w:r>
        <w:rPr>
          <w:rFonts w:ascii="Times New Roman" w:eastAsia="Times New Roman" w:hAnsi="Times New Roman" w:cs="Times New Roman"/>
        </w:rPr>
        <w:t>100%</w:t>
      </w:r>
      <w:r>
        <w:rPr>
          <w:rFonts w:ascii="SimSun" w:eastAsia="SimSun" w:hAnsi="SimSun" w:cs="SimSun"/>
        </w:rPr>
        <w:t>相加所得综合成绩从高分到低分排序择优录取。如有缺额，学校将在填报</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的考生中从高到低择优录取。在安排专业时，学校承认各省级招生考试机构制定的照顾政策加分。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综合成绩计算公式：综合成绩</w:t>
      </w:r>
      <w:r>
        <w:rPr>
          <w:rFonts w:ascii="Times New Roman" w:eastAsia="Times New Roman" w:hAnsi="Times New Roman" w:cs="Times New Roman"/>
        </w:rPr>
        <w:t>=</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 xml:space="preserve">×100%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、综合成绩相同情况下，优先录取文化课成绩总分高的考生，若文化课成绩总分也相同，则按文化课单科顺序及分数从高到低排序，以外语、语文、数学成绩为顺序，科目成绩高者优先录取。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年艺术类专业招生按照各省招生考试机构公布的相关文件要求执行。若省级招生考试机构实行平行志愿投档，则按其投档办法执行。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（三）体育类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考生须参加其所在省级招生考试机构组织的专业考试，成绩合格且文化课成绩达到所在省同批次最低控制分数线。投档后，按照文化课成绩总分的</w:t>
      </w:r>
      <w:r>
        <w:rPr>
          <w:rFonts w:ascii="Times New Roman" w:eastAsia="Times New Roman" w:hAnsi="Times New Roman" w:cs="Times New Roman"/>
        </w:rPr>
        <w:t>70%</w:t>
      </w:r>
      <w:r>
        <w:rPr>
          <w:rFonts w:ascii="SimSun" w:eastAsia="SimSun" w:hAnsi="SimSun" w:cs="SimSun"/>
        </w:rPr>
        <w:t>和专业考试成绩总分的</w:t>
      </w:r>
      <w:r>
        <w:rPr>
          <w:rFonts w:ascii="Times New Roman" w:eastAsia="Times New Roman" w:hAnsi="Times New Roman" w:cs="Times New Roman"/>
        </w:rPr>
        <w:t>30%</w:t>
      </w:r>
      <w:r>
        <w:rPr>
          <w:rFonts w:ascii="SimSun" w:eastAsia="SimSun" w:hAnsi="SimSun" w:cs="SimSun"/>
        </w:rPr>
        <w:t>相加所得综合成绩由高到低择优录取。如有缺额，学校将在填报</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的考生中从高到低择优录取。在安排专业时，学校承认各省级招生考试机构制定的照顾政策加分。综合成绩相同时，优先录取专业考试成绩高的考生，若专业考试成绩也相同，则按文化课单科顺序及分数从高到低排序，以外语、语文、数学成绩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综合成绩计算公式：综合成绩</w:t>
      </w:r>
      <w:r>
        <w:rPr>
          <w:rFonts w:ascii="Times New Roman" w:eastAsia="Times New Roman" w:hAnsi="Times New Roman" w:cs="Times New Roman"/>
        </w:rPr>
        <w:t>=</w:t>
      </w:r>
      <w:r>
        <w:rPr>
          <w:rFonts w:ascii="SimSun" w:eastAsia="SimSun" w:hAnsi="SimSun" w:cs="SimSun"/>
        </w:rPr>
        <w:t>文化课成绩总分</w:t>
      </w:r>
      <w:r>
        <w:rPr>
          <w:rFonts w:ascii="Times New Roman" w:eastAsia="Times New Roman" w:hAnsi="Times New Roman" w:cs="Times New Roman"/>
        </w:rPr>
        <w:t>×70%+</w:t>
      </w:r>
      <w:r>
        <w:rPr>
          <w:rFonts w:ascii="SimSun" w:eastAsia="SimSun" w:hAnsi="SimSun" w:cs="SimSun"/>
        </w:rPr>
        <w:t>专业考试成绩总分</w:t>
      </w:r>
      <w:r>
        <w:rPr>
          <w:rFonts w:ascii="Times New Roman" w:eastAsia="Times New Roman" w:hAnsi="Times New Roman" w:cs="Times New Roman"/>
        </w:rPr>
        <w:t xml:space="preserve">×30%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（四）国家高水平运动队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根据教育部及各省招生考试机构的文件要求，对符合国家高水平运动队录取条件，经学校体育专项测试成绩合格，符合各省级招生考试机构要求并审核确认，在教育部阳光高考信息公开平台公示的考生，按教育部和各省有关高水平运动队招生的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（五）高等职业教育对口升学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符合当年高考报名条件的考生，按投档分数从高到低择优录取。分数相同的情况下，优先录取外语成绩较高的考生。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http://www.jlau.edu.cn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通讯地址：吉林省长春市新城大街</w:t>
      </w:r>
      <w:r>
        <w:rPr>
          <w:rFonts w:ascii="Times New Roman" w:eastAsia="Times New Roman" w:hAnsi="Times New Roman" w:cs="Times New Roman"/>
        </w:rPr>
        <w:t>2888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w:t>
      </w:r>
      <w:r>
        <w:rPr>
          <w:rFonts w:ascii="SimSun" w:eastAsia="SimSun" w:hAnsi="SimSun" w:cs="SimSun"/>
        </w:rPr>
        <w:t>－</w:t>
      </w:r>
      <w:r>
        <w:rPr>
          <w:rFonts w:ascii="Times New Roman" w:eastAsia="Times New Roman" w:hAnsi="Times New Roman" w:cs="Times New Roman"/>
        </w:rPr>
        <w:t xml:space="preserve">84532980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人：吉林农业大学招生就业工作处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本章程未尽事宜，按照国家招生政策及各省招生有关规定执行。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本章程由吉林农业大学招生就业工作处负责解释。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83.html" TargetMode="External" /><Relationship Id="rId5" Type="http://schemas.openxmlformats.org/officeDocument/2006/relationships/hyperlink" Target="http://www.gk114.com/a/gxzs/zszc/jilin/2019/0627/1028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