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吉林农业科技学院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Hei" w:eastAsia="SimHei" w:hAnsi="SimHei" w:cs="SimHei"/>
          <w:color w:val="666666"/>
        </w:rPr>
        <w:t>第一章 总则</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第一条</w:t>
      </w:r>
      <w:r>
        <w:rPr>
          <w:rFonts w:ascii="SimSun" w:eastAsia="SimSun" w:hAnsi="SimSun" w:cs="SimSun"/>
          <w:color w:val="666666"/>
        </w:rPr>
        <w:t> 为规范我校今年招生工作，依据《中华人民共和国教育法》、《中华人民共和国高等教育法》等法律法规以及教育部有关规定，特制定本章程。</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 </w:t>
      </w:r>
      <w:r>
        <w:rPr>
          <w:rFonts w:ascii="SimSun" w:eastAsia="SimSun" w:hAnsi="SimSun" w:cs="SimSun"/>
          <w:b/>
          <w:bCs/>
          <w:color w:val="666666"/>
        </w:rPr>
        <w:t>第二条  </w:t>
      </w:r>
      <w:r>
        <w:rPr>
          <w:rFonts w:ascii="SimSun" w:eastAsia="SimSun" w:hAnsi="SimSun" w:cs="SimSun"/>
          <w:color w:val="666666"/>
        </w:rPr>
        <w:t>本章程适用于我校今年普通高等教育的本科、专科（高职）层次招生工作。</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第三条 </w:t>
      </w:r>
      <w:r>
        <w:rPr>
          <w:rFonts w:ascii="SimSun" w:eastAsia="SimSun" w:hAnsi="SimSun" w:cs="SimSun"/>
          <w:color w:val="666666"/>
        </w:rPr>
        <w:t> 学校全称：吉林农业科技学院</w:t>
      </w:r>
      <w:r>
        <w:rPr>
          <w:rFonts w:ascii="SimSun" w:eastAsia="SimSun" w:hAnsi="SimSun" w:cs="SimSun"/>
          <w:color w:val="666666"/>
        </w:rPr>
        <w:br/>
      </w:r>
      <w:r>
        <w:rPr>
          <w:rFonts w:ascii="SimSun" w:eastAsia="SimSun" w:hAnsi="SimSun" w:cs="SimSun"/>
          <w:color w:val="666666"/>
        </w:rPr>
        <w:t>          办学类型：普通高等学校</w:t>
      </w:r>
      <w:r>
        <w:rPr>
          <w:rFonts w:ascii="SimSun" w:eastAsia="SimSun" w:hAnsi="SimSun" w:cs="SimSun"/>
          <w:color w:val="666666"/>
        </w:rPr>
        <w:br/>
      </w:r>
      <w:r>
        <w:rPr>
          <w:rFonts w:ascii="SimSun" w:eastAsia="SimSun" w:hAnsi="SimSun" w:cs="SimSun"/>
          <w:color w:val="666666"/>
        </w:rPr>
        <w:t>          学校性质：公办</w:t>
      </w:r>
      <w:r>
        <w:rPr>
          <w:rFonts w:ascii="SimSun" w:eastAsia="SimSun" w:hAnsi="SimSun" w:cs="SimSun"/>
          <w:color w:val="666666"/>
        </w:rPr>
        <w:br/>
      </w:r>
      <w:r>
        <w:rPr>
          <w:rFonts w:ascii="SimSun" w:eastAsia="SimSun" w:hAnsi="SimSun" w:cs="SimSun"/>
          <w:color w:val="666666"/>
        </w:rPr>
        <w:t>          招生层次：本科、专科（高职）</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第四条</w:t>
      </w:r>
      <w:r>
        <w:rPr>
          <w:rFonts w:ascii="SimSun" w:eastAsia="SimSun" w:hAnsi="SimSun" w:cs="SimSun"/>
          <w:color w:val="666666"/>
        </w:rPr>
        <w:t>  学校地址：</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九站校区位于吉林省吉林市吉林经济技术开发区翰林路77号;</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左家校区位于吉林省吉林市昌邑区左家自然保护区学府路1号。</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                         </w:t>
      </w:r>
      <w:r>
        <w:rPr>
          <w:rFonts w:ascii="Calibri" w:eastAsia="Calibri" w:hAnsi="Calibri" w:cs="Calibri"/>
          <w:b/>
          <w:bCs/>
          <w:color w:val="666666"/>
        </w:rPr>
        <w:t>  </w:t>
      </w:r>
      <w:r>
        <w:rPr>
          <w:rFonts w:ascii="SimHei" w:eastAsia="SimHei" w:hAnsi="SimHei" w:cs="SimHei"/>
          <w:color w:val="666666"/>
        </w:rPr>
        <w:t>第二章 学历证书颁发</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第五条</w:t>
      </w:r>
      <w:r>
        <w:rPr>
          <w:rFonts w:ascii="SimSun" w:eastAsia="SimSun" w:hAnsi="SimSun" w:cs="SimSun"/>
          <w:color w:val="666666"/>
        </w:rPr>
        <w:t>  学生完成培养方案要求的教学内容，成绩合格，符合毕业条件，本科毕业生由吉林农业科技学院颁发国家规定的本科毕业证书。专科毕业生由吉林农业科技学院颁发国家规定的专科毕业证书。高职毕业生由吉林农业科技学院颁发国家规定的专科（高职）毕业证书。</w:t>
      </w:r>
    </w:p>
    <w:p>
      <w:pPr>
        <w:pBdr>
          <w:top w:val="none" w:sz="0" w:space="0" w:color="auto"/>
          <w:left w:val="none" w:sz="0" w:space="0" w:color="auto"/>
          <w:bottom w:val="none" w:sz="0" w:space="0" w:color="auto"/>
          <w:right w:val="none" w:sz="0" w:space="0" w:color="auto"/>
        </w:pBdr>
        <w:spacing w:before="0" w:after="0" w:line="435" w:lineRule="atLeast"/>
        <w:ind w:left="0" w:right="0" w:firstLine="3210"/>
        <w:rPr>
          <w:rFonts w:ascii="Microsoft YaHei" w:eastAsia="Microsoft YaHei" w:hAnsi="Microsoft YaHei" w:cs="Microsoft YaHei"/>
          <w:color w:val="666666"/>
          <w:sz w:val="21"/>
          <w:szCs w:val="21"/>
        </w:rPr>
      </w:pPr>
      <w:r>
        <w:rPr>
          <w:rFonts w:ascii="SimHei" w:eastAsia="SimHei" w:hAnsi="SimHei" w:cs="SimHei"/>
          <w:color w:val="666666"/>
        </w:rPr>
        <w:t>第三章</w:t>
      </w:r>
      <w:r>
        <w:rPr>
          <w:rFonts w:ascii="Calibri" w:eastAsia="Calibri" w:hAnsi="Calibri" w:cs="Calibri"/>
          <w:color w:val="666666"/>
        </w:rPr>
        <w:t>  </w:t>
      </w:r>
      <w:r>
        <w:rPr>
          <w:rFonts w:ascii="SimHei" w:eastAsia="SimHei" w:hAnsi="SimHei" w:cs="SimHei"/>
          <w:color w:val="666666"/>
        </w:rPr>
        <w:t xml:space="preserve"> 收费标准</w:t>
      </w:r>
    </w:p>
    <w:p>
      <w:pPr>
        <w:pBdr>
          <w:top w:val="none" w:sz="0" w:space="0" w:color="auto"/>
          <w:left w:val="none" w:sz="0" w:space="0" w:color="auto"/>
          <w:bottom w:val="none" w:sz="0" w:space="0" w:color="auto"/>
          <w:right w:val="none" w:sz="0" w:space="0" w:color="auto"/>
        </w:pBdr>
        <w:spacing w:before="0" w:after="0" w:line="34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第六条  </w:t>
      </w:r>
      <w:r>
        <w:rPr>
          <w:rFonts w:ascii="SimSun" w:eastAsia="SimSun" w:hAnsi="SimSun" w:cs="SimSun"/>
          <w:color w:val="666666"/>
        </w:rPr>
        <w:t>学费收取标准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925"/>
        <w:gridCol w:w="9215"/>
        <w:gridCol w:w="206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05"/>
        </w:trPr>
        <w:tc>
          <w:tcPr>
            <w:tcW w:w="261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专业代码</w:t>
            </w:r>
          </w:p>
        </w:tc>
        <w:tc>
          <w:tcPr>
            <w:tcW w:w="44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专业名称</w:t>
            </w:r>
          </w:p>
        </w:tc>
        <w:tc>
          <w:tcPr>
            <w:tcW w:w="18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收费标准（元）</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082702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食品质量与安全</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082708T</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烹饪与营养教育</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090202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野生动物与自然保护区管理</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090402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动物药学</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090301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动物科学</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070302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应用化学</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090109T</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应用生物科学</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090403T</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动植物检疫</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100806T</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中草药栽培与鉴定</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090104</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植物科学与技术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081101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水利水电工程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090103</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植物保护</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090502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园林</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090102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园艺</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090105</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种子科学与工程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090101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农学</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510104</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现代农业技术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590105</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食品检测技术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540502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工程造价</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510309</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特种动物养殖</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510301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畜牧兽医</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510102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宠物养护与驯导</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510306</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种子生产与经营</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120201K</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工商管理</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120204</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财务管理</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083001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生物工程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090401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动物医学</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082701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食品科学与工程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081702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包装工程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071002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生物技术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082703</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粮食工程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080204</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机械电子工程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120801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电子商务（本科）</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5" w:type="dxa"/>
          <w:tblInd w:w="165" w:type="dxa"/>
          <w:tblCellMar>
            <w:top w:w="0" w:type="dxa"/>
            <w:left w:w="0" w:type="dxa"/>
            <w:bottom w:w="0" w:type="dxa"/>
            <w:right w:w="0" w:type="dxa"/>
          </w:tblCellMar>
        </w:tblPrEx>
        <w:trPr>
          <w:trHeight w:val="67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0802H</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机械类（中外合作办学）（机械设计制造及其自动化）</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20000</w:t>
            </w:r>
          </w:p>
        </w:tc>
      </w:tr>
      <w:tr>
        <w:tblPrEx>
          <w:tblW w:w="14325" w:type="dxa"/>
          <w:tblInd w:w="165" w:type="dxa"/>
          <w:tblCellMar>
            <w:top w:w="0" w:type="dxa"/>
            <w:left w:w="0" w:type="dxa"/>
            <w:bottom w:w="0" w:type="dxa"/>
            <w:right w:w="0" w:type="dxa"/>
          </w:tblCellMar>
        </w:tblPrEx>
        <w:trPr>
          <w:trHeight w:val="43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080202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机械设计制造及其自动化（校企合作）</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5800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630302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会计</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100802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中药资源与开发</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100702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药物制剂</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081302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制药工程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081001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土木工程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120105</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工程造价(本科)</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570101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食品生物技术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3700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590401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药品经营与管理</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3700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120202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市场营销</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4200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020401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国际经济与贸易</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4200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071201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统计学</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4200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630801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电子商务（专科）</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080901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计算机科学与技术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4400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080903</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网络工程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4400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080714T</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电子信息科学与技术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4400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080902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软件工程</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4400</w:t>
            </w:r>
          </w:p>
        </w:tc>
      </w:tr>
      <w:tr>
        <w:tblPrEx>
          <w:tblW w:w="14325" w:type="dxa"/>
          <w:tblInd w:w="165" w:type="dxa"/>
          <w:tblCellMar>
            <w:top w:w="0" w:type="dxa"/>
            <w:left w:w="0" w:type="dxa"/>
            <w:bottom w:w="0" w:type="dxa"/>
            <w:right w:w="0" w:type="dxa"/>
          </w:tblCellMar>
        </w:tblPrEx>
        <w:trPr>
          <w:trHeight w:val="49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080601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电气工程及其自动化（校企合作）</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机电一体化技术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5500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610302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移动通信技术</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5000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050209</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朝鲜语</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4600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100801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中药学（本科）</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4600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050201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4600</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620302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中药学（专科）</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4300</w:t>
            </w:r>
          </w:p>
        </w:tc>
      </w:tr>
      <w:tr>
        <w:tblPrEx>
          <w:tblW w:w="14325" w:type="dxa"/>
          <w:tblInd w:w="165" w:type="dxa"/>
          <w:tblCellMar>
            <w:top w:w="0" w:type="dxa"/>
            <w:left w:w="0" w:type="dxa"/>
            <w:bottom w:w="0" w:type="dxa"/>
            <w:right w:w="0" w:type="dxa"/>
          </w:tblCellMar>
        </w:tblPrEx>
        <w:trPr>
          <w:trHeight w:val="390"/>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560702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汽车检测与维修技术（校企合作）</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待定</w:t>
            </w:r>
          </w:p>
        </w:tc>
      </w:tr>
      <w:tr>
        <w:tblPrEx>
          <w:tblW w:w="14325" w:type="dxa"/>
          <w:tblInd w:w="165" w:type="dxa"/>
          <w:tblCellMar>
            <w:top w:w="0" w:type="dxa"/>
            <w:left w:w="0" w:type="dxa"/>
            <w:bottom w:w="0" w:type="dxa"/>
            <w:right w:w="0" w:type="dxa"/>
          </w:tblCellMar>
        </w:tblPrEx>
        <w:trPr>
          <w:trHeight w:val="405"/>
        </w:trPr>
        <w:tc>
          <w:tcPr>
            <w:tcW w:w="265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560103</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数控技术（校企合作）</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待定</w:t>
            </w:r>
          </w:p>
        </w:tc>
      </w:tr>
    </w:tbl>
    <w:p>
      <w:pPr>
        <w:pBdr>
          <w:top w:val="none" w:sz="0" w:space="0" w:color="auto"/>
          <w:left w:val="none" w:sz="0" w:space="0" w:color="auto"/>
          <w:bottom w:val="none" w:sz="0" w:space="0" w:color="auto"/>
          <w:right w:val="none" w:sz="0" w:space="0" w:color="auto"/>
        </w:pBdr>
        <w:spacing w:before="0" w:after="0" w:line="34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 </w:t>
      </w:r>
    </w:p>
    <w:p>
      <w:pPr>
        <w:pBdr>
          <w:top w:val="none" w:sz="0" w:space="0" w:color="auto"/>
          <w:left w:val="none" w:sz="0" w:space="0" w:color="auto"/>
          <w:bottom w:val="none" w:sz="0" w:space="0" w:color="auto"/>
          <w:right w:val="none" w:sz="0" w:space="0" w:color="auto"/>
        </w:pBdr>
        <w:spacing w:before="0" w:after="0" w:line="435" w:lineRule="atLeast"/>
        <w:ind w:left="0" w:right="0" w:firstLine="1890"/>
        <w:rPr>
          <w:rFonts w:ascii="Microsoft YaHei" w:eastAsia="Microsoft YaHei" w:hAnsi="Microsoft YaHei" w:cs="Microsoft YaHei"/>
          <w:color w:val="666666"/>
          <w:sz w:val="21"/>
          <w:szCs w:val="21"/>
        </w:rPr>
      </w:pPr>
      <w:r>
        <w:rPr>
          <w:rFonts w:ascii="SimHei" w:eastAsia="SimHei" w:hAnsi="SimHei" w:cs="SimHei"/>
          <w:color w:val="666666"/>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第七条 </w:t>
      </w:r>
      <w:r>
        <w:rPr>
          <w:rFonts w:ascii="SimSun" w:eastAsia="SimSun" w:hAnsi="SimSun" w:cs="SimSun"/>
          <w:color w:val="666666"/>
        </w:rPr>
        <w:t>  </w:t>
      </w:r>
      <w:r>
        <w:rPr>
          <w:rFonts w:ascii="SimSun" w:eastAsia="SimSun" w:hAnsi="SimSun" w:cs="SimSun"/>
          <w:color w:val="666666"/>
        </w:rPr>
        <w:t>高校家庭经济困难学生国家资助政策主要内容</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国家在高等教育本专科阶段建立了包括国家奖学金、国家励志奖学金、国家助学金、国家助学贷款（校园地国家助学贷款和生源地信用助学贷款）、师范生免费教育、退役士兵教育资助、基层就业学费补偿助学贷款代偿、服义务兵役国家资助、直招士官国家资助、新生入学资助项目、勤工助学、学费减免、地方政府奖学金等多种形式相结合的高校家庭经济困难学生资助政策体系。</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入学时，家庭经济特别困难的新生如暂时筹集不齐学费和住宿费，可通过学校开设的“绿色通道”报到。入学后再向学校申请资助，由学校核实认定后采取不同措施给予资助。其中，解决学费、住宿费问题，以国家助学贷款为主，以国家励志奖学金等为辅；解决生活费问题，以国家助学金为主，以勤工助学等为辅。</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第八条</w:t>
      </w:r>
      <w:r>
        <w:rPr>
          <w:rFonts w:ascii="SimSun" w:eastAsia="SimSun" w:hAnsi="SimSun" w:cs="SimSun"/>
          <w:color w:val="666666"/>
        </w:rPr>
        <w:t>  </w:t>
      </w:r>
      <w:r>
        <w:rPr>
          <w:rFonts w:ascii="SimSun" w:eastAsia="SimSun" w:hAnsi="SimSun" w:cs="SimSun"/>
          <w:color w:val="666666"/>
        </w:rPr>
        <w:t>高校家庭经济困难学生校内资助政策主要内容</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、【吉林省教育基金神内优秀特困生奖学金】奖励标准，每人每年5000元，每年评选40名，实行等额评审。</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、【学校奖学金】</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农林专业奖学金：一等奖学金按学生人数的5%评定、二等奖学金按学生人数的10%评定、三等奖学金按学生人数的85%评定，标准分别为：一等奖学金600元/每学期、二等奖学金400元/每学期、三等奖学金200元/每学期。包括：园艺、植物保护、植物科学与技术、园林、种子科学与工程、农学、动物科学、野生动物与自然保护区管理、动物药学、动物医学、动物植物检疫、应用生物科学、畜牧兽医、特种动物养殖、宠物养护与驯导、种子生产与经营、现代农业技术等17个专业。</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（2）优秀学生奖学金：一等奖学金评定比例不超过本专业学生的5%、二等奖学金不超过10%、三等奖学金不超过20%。标准分别为：一等奖学金600元/每学期；二等奖学金400元/每学期；三等奖学金200元/每学期。</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3</w:t>
      </w:r>
      <w:r>
        <w:rPr>
          <w:rFonts w:ascii="SimSun" w:eastAsia="SimSun" w:hAnsi="SimSun" w:cs="SimSun"/>
          <w:color w:val="666666"/>
        </w:rPr>
        <w:t>、【社会团体及企业奖助学金】中华农业科教基金会、禾丰牧业集团、大北农集团等社会团体、企业和国际友人在我校设立多种专项奖助学金。</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、学校设立新生入学奖学金。</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第九条</w:t>
      </w:r>
      <w:r>
        <w:rPr>
          <w:rFonts w:ascii="SimSun" w:eastAsia="SimSun" w:hAnsi="SimSun" w:cs="SimSun"/>
          <w:color w:val="666666"/>
        </w:rPr>
        <w:t>  </w:t>
      </w:r>
      <w:r>
        <w:rPr>
          <w:rFonts w:ascii="SimSun" w:eastAsia="SimSun" w:hAnsi="SimSun" w:cs="SimSun"/>
          <w:color w:val="666666"/>
        </w:rPr>
        <w:t>高校家庭经济困难学生资助对象及相关程序</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证明自己的家庭经济状况，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第十条 </w:t>
      </w:r>
      <w:r>
        <w:rPr>
          <w:rFonts w:ascii="SimSun" w:eastAsia="SimSun" w:hAnsi="SimSun" w:cs="SimSun"/>
          <w:color w:val="666666"/>
        </w:rPr>
        <w:t> 其他</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有关高校家庭经济困难学生资助政策具体内容详见《高等学校学生资助政策简介》，此《简介》每年统一由全国学生资助管理中心印制，随录取通知书邮寄至每名新生手中。</w:t>
      </w:r>
    </w:p>
    <w:p>
      <w:pPr>
        <w:pBdr>
          <w:top w:val="none" w:sz="0" w:space="0" w:color="auto"/>
          <w:left w:val="none" w:sz="0" w:space="0" w:color="auto"/>
          <w:bottom w:val="none" w:sz="0" w:space="0" w:color="auto"/>
          <w:right w:val="none" w:sz="0" w:space="0" w:color="auto"/>
        </w:pBdr>
        <w:spacing w:before="0" w:after="0" w:line="435" w:lineRule="atLeast"/>
        <w:ind w:left="0" w:right="0" w:firstLine="3360"/>
        <w:rPr>
          <w:rFonts w:ascii="Microsoft YaHei" w:eastAsia="Microsoft YaHei" w:hAnsi="Microsoft YaHei" w:cs="Microsoft YaHei"/>
          <w:color w:val="666666"/>
          <w:sz w:val="21"/>
          <w:szCs w:val="21"/>
        </w:rPr>
      </w:pPr>
      <w:r>
        <w:rPr>
          <w:rFonts w:ascii="SimHei" w:eastAsia="SimHei" w:hAnsi="SimHei" w:cs="SimHei"/>
          <w:color w:val="666666"/>
        </w:rPr>
        <w:t>第五章 录取说明</w:t>
      </w:r>
    </w:p>
    <w:p>
      <w:pPr>
        <w:pBdr>
          <w:top w:val="none" w:sz="0" w:space="0" w:color="auto"/>
          <w:left w:val="none" w:sz="0" w:space="0" w:color="auto"/>
          <w:bottom w:val="none" w:sz="0" w:space="0" w:color="auto"/>
          <w:right w:val="none" w:sz="0" w:space="0" w:color="auto"/>
        </w:pBdr>
        <w:spacing w:before="0" w:after="0" w:line="43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第十一条 专业培养对外语的要求:</w:t>
      </w:r>
    </w:p>
    <w:p>
      <w:pPr>
        <w:pBdr>
          <w:top w:val="none" w:sz="0" w:space="0" w:color="auto"/>
          <w:left w:val="none" w:sz="0" w:space="0" w:color="auto"/>
          <w:bottom w:val="none" w:sz="0" w:space="0" w:color="auto"/>
          <w:right w:val="none" w:sz="0" w:space="0" w:color="auto"/>
        </w:pBdr>
        <w:spacing w:before="0" w:after="0" w:line="435" w:lineRule="atLeast"/>
        <w:ind w:left="420" w:right="0" w:firstLine="1290"/>
        <w:rPr>
          <w:rFonts w:ascii="Microsoft YaHei" w:eastAsia="Microsoft YaHei" w:hAnsi="Microsoft YaHei" w:cs="Microsoft YaHei"/>
          <w:color w:val="666666"/>
          <w:sz w:val="21"/>
          <w:szCs w:val="21"/>
        </w:rPr>
      </w:pPr>
      <w:r>
        <w:rPr>
          <w:rFonts w:ascii="SimSun" w:eastAsia="SimSun" w:hAnsi="SimSun" w:cs="SimSun"/>
          <w:color w:val="666666"/>
        </w:rPr>
        <w:t>学校英语本科专业只招收英语语种考生，其它专业不限语种。</w:t>
      </w:r>
    </w:p>
    <w:p>
      <w:pPr>
        <w:pBdr>
          <w:top w:val="none" w:sz="0" w:space="0" w:color="auto"/>
          <w:left w:val="none" w:sz="0" w:space="0" w:color="auto"/>
          <w:bottom w:val="none" w:sz="0" w:space="0" w:color="auto"/>
          <w:right w:val="none" w:sz="0" w:space="0" w:color="auto"/>
        </w:pBdr>
        <w:spacing w:before="0" w:after="0" w:line="435" w:lineRule="atLeast"/>
        <w:ind w:left="135" w:right="0" w:firstLine="360"/>
        <w:rPr>
          <w:rFonts w:ascii="Microsoft YaHei" w:eastAsia="Microsoft YaHei" w:hAnsi="Microsoft YaHei" w:cs="Microsoft YaHei"/>
          <w:color w:val="666666"/>
          <w:sz w:val="21"/>
          <w:szCs w:val="21"/>
        </w:rPr>
      </w:pPr>
      <w:r>
        <w:rPr>
          <w:rFonts w:ascii="SimSun" w:eastAsia="SimSun" w:hAnsi="SimSun" w:cs="SimSun"/>
          <w:b/>
          <w:bCs/>
          <w:color w:val="666666"/>
        </w:rPr>
        <w:t>第十二条</w:t>
      </w:r>
      <w:r>
        <w:rPr>
          <w:rFonts w:ascii="SimSun" w:eastAsia="SimSun" w:hAnsi="SimSun" w:cs="SimSun"/>
          <w:color w:val="666666"/>
        </w:rPr>
        <w:t> </w:t>
      </w:r>
      <w:r>
        <w:rPr>
          <w:rFonts w:ascii="SimSun" w:eastAsia="SimSun" w:hAnsi="SimSun" w:cs="SimSun"/>
          <w:color w:val="666666"/>
        </w:rPr>
        <w:t>招收男女生比例的要求:</w:t>
      </w:r>
    </w:p>
    <w:p>
      <w:pPr>
        <w:pBdr>
          <w:top w:val="none" w:sz="0" w:space="0" w:color="auto"/>
          <w:left w:val="none" w:sz="0" w:space="0" w:color="auto"/>
          <w:bottom w:val="none" w:sz="0" w:space="0" w:color="auto"/>
          <w:right w:val="none" w:sz="0" w:space="0" w:color="auto"/>
        </w:pBdr>
        <w:spacing w:before="0" w:after="0" w:line="435" w:lineRule="atLeast"/>
        <w:ind w:left="285" w:right="0" w:firstLine="1425"/>
        <w:rPr>
          <w:rFonts w:ascii="Microsoft YaHei" w:eastAsia="Microsoft YaHei" w:hAnsi="Microsoft YaHei" w:cs="Microsoft YaHei"/>
          <w:color w:val="666666"/>
          <w:sz w:val="21"/>
          <w:szCs w:val="21"/>
        </w:rPr>
      </w:pPr>
      <w:r>
        <w:rPr>
          <w:rFonts w:ascii="SimSun" w:eastAsia="SimSun" w:hAnsi="SimSun" w:cs="SimSun"/>
          <w:color w:val="666666"/>
        </w:rPr>
        <w:t>各招生专业男女不限。</w:t>
      </w:r>
    </w:p>
    <w:p>
      <w:pPr>
        <w:pBdr>
          <w:top w:val="none" w:sz="0" w:space="0" w:color="auto"/>
          <w:left w:val="none" w:sz="0" w:space="0" w:color="auto"/>
          <w:bottom w:val="none" w:sz="0" w:space="0" w:color="auto"/>
          <w:right w:val="none" w:sz="0" w:space="0" w:color="auto"/>
        </w:pBdr>
        <w:spacing w:before="0" w:after="0" w:line="435" w:lineRule="atLeast"/>
        <w:ind w:left="570" w:right="0"/>
        <w:rPr>
          <w:rFonts w:ascii="Microsoft YaHei" w:eastAsia="Microsoft YaHei" w:hAnsi="Microsoft YaHei" w:cs="Microsoft YaHei"/>
          <w:color w:val="666666"/>
          <w:sz w:val="21"/>
          <w:szCs w:val="21"/>
        </w:rPr>
      </w:pPr>
      <w:r>
        <w:rPr>
          <w:rFonts w:ascii="SimSun" w:eastAsia="SimSun" w:hAnsi="SimSun" w:cs="SimSun"/>
          <w:b/>
          <w:bCs/>
          <w:color w:val="666666"/>
        </w:rPr>
        <w:t>第十三条</w:t>
      </w:r>
      <w:r>
        <w:rPr>
          <w:rFonts w:ascii="SimSun" w:eastAsia="SimSun" w:hAnsi="SimSun" w:cs="SimSun"/>
          <w:color w:val="666666"/>
        </w:rPr>
        <w:t> </w:t>
      </w:r>
      <w:r>
        <w:rPr>
          <w:rFonts w:ascii="SimSun" w:eastAsia="SimSun" w:hAnsi="SimSun" w:cs="SimSun"/>
          <w:color w:val="666666"/>
        </w:rPr>
        <w:t>身体及健康状况的要求:</w:t>
      </w:r>
    </w:p>
    <w:p>
      <w:pPr>
        <w:pBdr>
          <w:top w:val="none" w:sz="0" w:space="0" w:color="auto"/>
          <w:left w:val="none" w:sz="0" w:space="0" w:color="auto"/>
          <w:bottom w:val="none" w:sz="0" w:space="0" w:color="auto"/>
          <w:right w:val="none" w:sz="0" w:space="0" w:color="auto"/>
        </w:pBdr>
        <w:spacing w:before="0" w:after="0" w:line="435" w:lineRule="atLeast"/>
        <w:ind w:left="0" w:right="0" w:firstLine="465"/>
        <w:rPr>
          <w:rFonts w:ascii="Microsoft YaHei" w:eastAsia="Microsoft YaHei" w:hAnsi="Microsoft YaHei" w:cs="Microsoft YaHei"/>
          <w:color w:val="666666"/>
          <w:sz w:val="21"/>
          <w:szCs w:val="21"/>
        </w:rPr>
      </w:pPr>
      <w:r>
        <w:rPr>
          <w:rFonts w:ascii="SimSun" w:eastAsia="SimSun" w:hAnsi="SimSun" w:cs="SimSun"/>
          <w:color w:val="666666"/>
        </w:rPr>
        <w:t>执行教育部、卫生部、中国残疾人联合会制订并下发的《普通高等学校招生体检工作指导意见》及相关补充规定。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第十四条</w:t>
      </w:r>
      <w:r>
        <w:rPr>
          <w:rFonts w:ascii="SimSun" w:eastAsia="SimSun" w:hAnsi="SimSun" w:cs="SimSun"/>
          <w:color w:val="666666"/>
        </w:rPr>
        <w:t> </w:t>
      </w:r>
      <w:r>
        <w:rPr>
          <w:rFonts w:ascii="SimSun" w:eastAsia="SimSun" w:hAnsi="SimSun" w:cs="SimSun"/>
          <w:color w:val="666666"/>
        </w:rPr>
        <w:t>录取规则:</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按教育部要求，实行学校负责，省级招生办监督的录取体制，我校招生工作遵循“公平竞争、公正选拔、公开透明、择优录取”的原则。</w:t>
      </w:r>
      <w:r>
        <w:rPr>
          <w:rFonts w:ascii="SimSun" w:eastAsia="SimSun" w:hAnsi="SimSun" w:cs="SimSun"/>
          <w:color w:val="666666"/>
        </w:rPr>
        <w:br/>
      </w:r>
      <w:r>
        <w:rPr>
          <w:rFonts w:ascii="SimSun" w:eastAsia="SimSun" w:hAnsi="SimSun" w:cs="SimSun"/>
          <w:color w:val="666666"/>
        </w:rPr>
        <w:t>    1、学校认可各省（直辖市、自治区）有关“农业院校降分录取”政策。</w:t>
      </w:r>
      <w:r>
        <w:rPr>
          <w:rFonts w:ascii="SimSun" w:eastAsia="SimSun" w:hAnsi="SimSun" w:cs="SimSun"/>
          <w:color w:val="666666"/>
        </w:rPr>
        <w:br/>
      </w:r>
      <w:r>
        <w:rPr>
          <w:rFonts w:ascii="SimSun" w:eastAsia="SimSun" w:hAnsi="SimSun" w:cs="SimSun"/>
          <w:color w:val="666666"/>
        </w:rPr>
        <w:t>    2、学校对投档比例要求，按照顺序志愿投档的批次或平行志愿投档的批次，调档比例原则上控制在100%。如生源省份投档比例有特殊规定、按生源投档比例要求执行。照顾加分项，对享受政策性加分或者降分投档的考生，按所在省（直辖市、自治区）招生考试机构的规定投档。</w:t>
      </w:r>
      <w:r>
        <w:rPr>
          <w:rFonts w:ascii="SimSun" w:eastAsia="SimSun" w:hAnsi="SimSun" w:cs="SimSun"/>
          <w:color w:val="666666"/>
        </w:rPr>
        <w:br/>
      </w:r>
      <w:r>
        <w:rPr>
          <w:rFonts w:ascii="SimSun" w:eastAsia="SimSun" w:hAnsi="SimSun" w:cs="SimSun"/>
          <w:color w:val="666666"/>
        </w:rPr>
        <w:t>    3、学校对进档考生的专业安排，在思想政治品德考核和体检均合格的前提下，在各招生录取省份，文史和理工类各专业均按“专业清”原则录取，“专业清”即“专业优先”即对在我校投档比例线上且已经投档我校符合条件的考生，按专业志愿顺序，按投档分从高分到低分排序，在专业招生计划内择优录取。将各省级招办投档到我校的所有考生，根据考生报考的“专业志愿”按投档分从高到低择优录取，考生投档分相同时，按高考原始分数录取，当原始分数相同时则按单科顺序及分数从高到低排序。文科考生按照语文、文综合、数学、外语；理科考生按照数学、理综合、语文、外语。</w:t>
      </w:r>
      <w:r>
        <w:rPr>
          <w:rFonts w:ascii="SimSun" w:eastAsia="SimSun" w:hAnsi="SimSun" w:cs="SimSun"/>
          <w:color w:val="666666"/>
        </w:rPr>
        <w:br/>
      </w:r>
      <w:r>
        <w:rPr>
          <w:rFonts w:ascii="SimSun" w:eastAsia="SimSun" w:hAnsi="SimSun" w:cs="SimSun"/>
          <w:color w:val="666666"/>
        </w:rPr>
        <w:t>    4、专业调剂。考生所填报的专业志愿均无法满足时，如果填报了“服从专业调剂”，可调剂到其它未录满专业；如果未填报“服从专业调剂”，则不予录取，做退档处理。</w:t>
      </w:r>
      <w:r>
        <w:rPr>
          <w:rFonts w:ascii="SimSun" w:eastAsia="SimSun" w:hAnsi="SimSun" w:cs="SimSun"/>
          <w:color w:val="666666"/>
        </w:rPr>
        <w:br/>
      </w:r>
      <w:r>
        <w:rPr>
          <w:rFonts w:ascii="SimSun" w:eastAsia="SimSun" w:hAnsi="SimSun" w:cs="SimSun"/>
          <w:color w:val="666666"/>
        </w:rPr>
        <w:t>  5、学校在第一志愿（含平行志愿）不满的条件下，则录取非第一志愿考生，非第一志愿的考生只能录取到本校前一志愿录取后未满额的专业。</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 </w:t>
      </w:r>
      <w:r>
        <w:rPr>
          <w:rFonts w:ascii="SimSun" w:eastAsia="SimSun" w:hAnsi="SimSun" w:cs="SimSun"/>
          <w:b/>
          <w:bCs/>
          <w:color w:val="666666"/>
        </w:rPr>
        <w:t>第十五条</w:t>
      </w:r>
      <w:r>
        <w:rPr>
          <w:rFonts w:ascii="SimSun" w:eastAsia="SimSun" w:hAnsi="SimSun" w:cs="SimSun"/>
          <w:color w:val="666666"/>
        </w:rPr>
        <w:t> 几点说明</w:t>
      </w:r>
      <w:r>
        <w:rPr>
          <w:rFonts w:ascii="SimSun" w:eastAsia="SimSun" w:hAnsi="SimSun" w:cs="SimSun"/>
          <w:color w:val="666666"/>
        </w:rPr>
        <w:br/>
      </w:r>
      <w:r>
        <w:rPr>
          <w:rFonts w:ascii="SimSun" w:eastAsia="SimSun" w:hAnsi="SimSun" w:cs="SimSun"/>
          <w:color w:val="666666"/>
        </w:rPr>
        <w:t>     1、凡考入我校下列本科专业的考生：中草药栽培与鉴定、中药学、中药资源与开发、动物科学、动物医学、动植物检疫、野生动物与自然保护区管理等专业的考生在左家校区就读。</w:t>
      </w:r>
      <w:r>
        <w:rPr>
          <w:rFonts w:ascii="SimSun" w:eastAsia="SimSun" w:hAnsi="SimSun" w:cs="SimSun"/>
          <w:color w:val="666666"/>
        </w:rPr>
        <w:br/>
      </w:r>
      <w:r>
        <w:rPr>
          <w:rFonts w:ascii="SimSun" w:eastAsia="SimSun" w:hAnsi="SimSun" w:cs="SimSun"/>
          <w:color w:val="666666"/>
        </w:rPr>
        <w:t>     2、凡考入我校下列专科专业的考生：中药学、畜牧兽医、宠物养护与驯导等专业的考生在左家校区就读。</w:t>
      </w:r>
      <w:r>
        <w:rPr>
          <w:rFonts w:ascii="SimSun" w:eastAsia="SimSun" w:hAnsi="SimSun" w:cs="SimSun"/>
          <w:color w:val="666666"/>
        </w:rPr>
        <w:br/>
      </w:r>
      <w:r>
        <w:rPr>
          <w:rFonts w:ascii="SimSun" w:eastAsia="SimSun" w:hAnsi="SimSun" w:cs="SimSun"/>
          <w:color w:val="666666"/>
        </w:rPr>
        <w:t>     3、其他本科、专科专业均在九站校区就读。</w:t>
      </w:r>
      <w:r>
        <w:rPr>
          <w:rFonts w:ascii="SimSun" w:eastAsia="SimSun" w:hAnsi="SimSun" w:cs="SimSun"/>
          <w:color w:val="666666"/>
        </w:rPr>
        <w:br/>
      </w:r>
      <w:r>
        <w:rPr>
          <w:rFonts w:ascii="SimSun" w:eastAsia="SimSun" w:hAnsi="SimSun" w:cs="SimSun"/>
          <w:color w:val="666666"/>
        </w:rPr>
        <w:t>     4、机械类中外合作办学项目是经教育部批准，我校与韩国庆南大学合作机械设计制造及其自动化专业本科教育，双方共同制定培养方案，共同承担并完成四年制本科教学及人才培养任务。学生在校学习期间，自第三年开始，可申请赴韩国庆南大学学习，在韩国庆南大学完成规定课程的学习，毕业时可同时获得吉林农业科技学院与韩国庆南大学两个学校学位证书。</w:t>
      </w:r>
    </w:p>
    <w:p>
      <w:pPr>
        <w:pBdr>
          <w:top w:val="none" w:sz="0" w:space="0" w:color="auto"/>
          <w:left w:val="none" w:sz="0" w:space="0" w:color="auto"/>
          <w:bottom w:val="none" w:sz="0" w:space="0" w:color="auto"/>
          <w:right w:val="none" w:sz="0" w:space="0" w:color="auto"/>
        </w:pBdr>
        <w:spacing w:before="0" w:after="0" w:line="43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第十六条</w:t>
      </w:r>
      <w:r>
        <w:rPr>
          <w:rFonts w:ascii="SimSun" w:eastAsia="SimSun" w:hAnsi="SimSun" w:cs="SimSun"/>
          <w:color w:val="666666"/>
        </w:rPr>
        <w:t> </w:t>
      </w:r>
      <w:r>
        <w:rPr>
          <w:rFonts w:ascii="SimSun" w:eastAsia="SimSun" w:hAnsi="SimSun" w:cs="SimSun"/>
          <w:color w:val="666666"/>
        </w:rPr>
        <w:t>联系方式</w:t>
      </w:r>
      <w:r>
        <w:rPr>
          <w:rFonts w:ascii="SimSun" w:eastAsia="SimSun" w:hAnsi="SimSun" w:cs="SimSun"/>
          <w:color w:val="666666"/>
        </w:rPr>
        <w:br/>
      </w:r>
      <w:r>
        <w:rPr>
          <w:rFonts w:ascii="SimSun" w:eastAsia="SimSun" w:hAnsi="SimSun" w:cs="SimSun"/>
          <w:color w:val="666666"/>
        </w:rPr>
        <w:t>    学校网址：http://www.jlnku.edu.cn</w:t>
      </w:r>
      <w:r>
        <w:rPr>
          <w:rFonts w:ascii="SimSun" w:eastAsia="SimSun" w:hAnsi="SimSun" w:cs="SimSun"/>
          <w:color w:val="666666"/>
        </w:rPr>
        <w:br/>
      </w:r>
      <w:r>
        <w:rPr>
          <w:rFonts w:ascii="SimSun" w:eastAsia="SimSun" w:hAnsi="SimSun" w:cs="SimSun"/>
          <w:color w:val="666666"/>
        </w:rPr>
        <w:t>    通讯地址：吉林省吉林市吉林经济技术开发区翰林路77号</w:t>
      </w:r>
      <w:r>
        <w:rPr>
          <w:rFonts w:ascii="SimSun" w:eastAsia="SimSun" w:hAnsi="SimSun" w:cs="SimSun"/>
          <w:color w:val="666666"/>
        </w:rPr>
        <w:br/>
      </w:r>
      <w:r>
        <w:rPr>
          <w:rFonts w:ascii="SimSun" w:eastAsia="SimSun" w:hAnsi="SimSun" w:cs="SimSun"/>
          <w:color w:val="666666"/>
        </w:rPr>
        <w:t>    联系电话：0432-63509600、6350932、63509034、63509850</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第十七条</w:t>
      </w:r>
      <w:r>
        <w:rPr>
          <w:rFonts w:ascii="SimSun" w:eastAsia="SimSun" w:hAnsi="SimSun" w:cs="SimSun"/>
          <w:color w:val="666666"/>
        </w:rPr>
        <w:t> 此章程由学校负责解释，本章程未尽事宜，按照国家招生政策执行。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5.html" TargetMode="External" /><Relationship Id="rId5" Type="http://schemas.openxmlformats.org/officeDocument/2006/relationships/hyperlink" Target="http://www.gk114.com/a/gxzs/zszc/jilin/2019/0221/652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