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吉林工程技术师范学院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为做好</w:t>
      </w:r>
      <w:r>
        <w:rPr>
          <w:rFonts w:ascii="Times New Roman" w:eastAsia="Times New Roman" w:hAnsi="Times New Roman" w:cs="Times New Roman"/>
        </w:rPr>
        <w:t>2018</w:t>
      </w:r>
      <w:r>
        <w:rPr>
          <w:rFonts w:ascii="SimSun" w:eastAsia="SimSun" w:hAnsi="SimSun" w:cs="SimSun"/>
        </w:rPr>
        <w:t>年学校招生工作，依据《中华人民共和国教育法》、《中华人民共和国高等教育法》等法律法规以及教育部有关规定，特制定本章程。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本章程适用于学校</w:t>
      </w:r>
      <w:r>
        <w:rPr>
          <w:rFonts w:ascii="Times New Roman" w:eastAsia="Times New Roman" w:hAnsi="Times New Roman" w:cs="Times New Roman"/>
        </w:rPr>
        <w:t>2018</w:t>
      </w:r>
      <w:r>
        <w:rPr>
          <w:rFonts w:ascii="SimSun" w:eastAsia="SimSun" w:hAnsi="SimSun" w:cs="SimSun"/>
        </w:rPr>
        <w:t>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学校全称：吉林工程技术师范学院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主校区地址：吉林省长春市宽城区凯旋路</w:t>
      </w:r>
      <w:r>
        <w:rPr>
          <w:rFonts w:ascii="Times New Roman" w:eastAsia="Times New Roman" w:hAnsi="Times New Roman" w:cs="Times New Roman"/>
        </w:rPr>
        <w:t>3050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泰来校区地址：吉林省长春市绿园区泰来街</w:t>
      </w:r>
      <w:r>
        <w:rPr>
          <w:rFonts w:ascii="Times New Roman" w:eastAsia="Times New Roman" w:hAnsi="Times New Roman" w:cs="Times New Roman"/>
        </w:rPr>
        <w:t>1485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高新校区地址：吉林省长春市高新开发区大学城学苑街</w:t>
      </w:r>
      <w:r>
        <w:rPr>
          <w:rFonts w:ascii="Times New Roman" w:eastAsia="Times New Roman" w:hAnsi="Times New Roman" w:cs="Times New Roman"/>
        </w:rPr>
        <w:t>219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长德校区地址：吉林省长春市长德新区。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教育学专业学费标准为每生每学年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学前教育专业学费标准为每生每学年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生物工程专业学费标准为每生每学年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食品科学与工程专业学费标准为每生每学年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食品质量与安全专业学费标准为每生每学年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食品营养与检验教育专业学费标准为每生每学年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汽车服务工程专业学费标准为每生每学年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财务管理专业学费标准为每生每学年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市场营销专业学费标准为每生每学年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旅游管理专业学费标准为每生每学年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行政管理专业学费标准为每生每学年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物流管理专业学费标准为每生每学年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数学与应用数学专业学费标准为每生每学年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工业设计专业学费标准为每生每学年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材料成型及控制工程专业学费标准为每生每学年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机械设计制造及其自动化专业学费标准为每生每学年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机械电子工程专业学费标准为每生每学年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电子商务专业学费标准为每生每学年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人力资源管理专业学费标准为每生每学年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化学工程与工业生物工程专业学费标准为每生每学年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国际经济与贸易专业学费标准为每生每学年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投资学专业学费标准为每生每学年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通信工程专业学费标准为每生每学年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电子信息工程专业学费标准为每生每学年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计算机科学与技术专业学费标准为每生每学年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软件工程专业学费标准为每生每学年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数字媒体技术专业学费标准为每生每学年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数据科学与大数据技术专业学费标准为每生每学年</w:t>
      </w:r>
      <w:r>
        <w:rPr>
          <w:rFonts w:ascii="Times New Roman" w:eastAsia="Times New Roman" w:hAnsi="Times New Roman" w:cs="Times New Roman"/>
        </w:rPr>
        <w:t>4400</w:t>
      </w:r>
      <w:r>
        <w:rPr>
          <w:rFonts w:ascii="SimSun" w:eastAsia="SimSun" w:hAnsi="SimSun" w:cs="SimSun"/>
        </w:rPr>
        <w:t>元；自动化专业学费标准为每生每学年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电气工程及其自动化专业学费标准为每生每学年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电气类</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电气工程及其自动化</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w:t>
      </w:r>
      <w:r>
        <w:rPr>
          <w:rFonts w:ascii="SimSun" w:eastAsia="SimSun" w:hAnsi="SimSun" w:cs="SimSun"/>
        </w:rPr>
        <w:t>学费标准待定，以吉林省物价部门审核标准收取</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测控技术与仪器专业学费标准为每生每学年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机器人工程专业学费标准为每生每学年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轨道交通信号与控制专业学费标准为每生每学年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英语专业学费标准为每生每学年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德语专业学费标准为每生每学年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编辑出版学专业学费标准为每生每学年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戏剧与影视学类（中外合作办学）</w:t>
      </w:r>
      <w:r>
        <w:rPr>
          <w:rFonts w:ascii="Times New Roman" w:eastAsia="Times New Roman" w:hAnsi="Times New Roman" w:cs="Times New Roman"/>
        </w:rPr>
        <w:t>(</w:t>
      </w:r>
      <w:r>
        <w:rPr>
          <w:rFonts w:ascii="SimSun" w:eastAsia="SimSun" w:hAnsi="SimSun" w:cs="SimSun"/>
        </w:rPr>
        <w:t>动画</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网络与新媒体专业学费标准为每生每学年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表演专业学费标准为每生每学年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服装设计与工程专业学费标准为每生每学年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服装与服饰设计专业学费标准为每生每学年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工艺美术专业学费标准为每生每学年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视觉传达设计专业学费标准为每生每学年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环境设计专业学费标准为每生每学年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美术学专业学费标准为每生每学年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汽车电子技术专业学费标准为每生每学年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物流管理专业学费标准为每生每学年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机电一体化技术专业学费标准为每生每学年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会计专业学费标准为每生每学年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电子商务专业学费标准为每生每学年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计算机应用技术专业学费标准为每生每学年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电气自动化技术专业学费标准为每生每学年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汽车检测与维修技术专业学费标准为每生每学年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空中乘务专业学费标准为每生每学年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服装与服饰设计专业学费标准为每生每学年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学生完成培养方案要求的教学内容，成绩合格，符合毕业条件，本科毕业生由吉林工程技术师范学院颁发国家规定的本科毕业证书；高职毕业生由吉林工程技术师范学院颁发国家规定的专科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校内有完善的家庭经济困难学生配套资助政策措施，建立了奖、助、贷、勤、补、免</w:t>
      </w:r>
      <w:r>
        <w:rPr>
          <w:rFonts w:ascii="Times New Roman" w:eastAsia="Times New Roman" w:hAnsi="Times New Roman" w:cs="Times New Roman"/>
        </w:rPr>
        <w:t>“</w:t>
      </w:r>
      <w:r>
        <w:rPr>
          <w:rFonts w:ascii="SimSun" w:eastAsia="SimSun" w:hAnsi="SimSun" w:cs="SimSun"/>
        </w:rPr>
        <w:t>六位一体</w:t>
      </w:r>
      <w:r>
        <w:rPr>
          <w:rFonts w:ascii="Times New Roman" w:eastAsia="Times New Roman" w:hAnsi="Times New Roman" w:cs="Times New Roman"/>
        </w:rPr>
        <w:t>”</w:t>
      </w:r>
      <w:r>
        <w:rPr>
          <w:rFonts w:ascii="SimSun" w:eastAsia="SimSun" w:hAnsi="SimSun" w:cs="SimSun"/>
        </w:rPr>
        <w:t>助学体系，每年设置专项经费，专款专用。同时引进社会助学资源，形成了以政府为主导、学校和社会为补充的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资助格局。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外国语言文学类专业英语、德语专业只招收英语语种考生，其他专业无特殊要求。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美术学、视觉传达设计、工艺美术、环境设计、服装与服饰设计、戏剧与影视学类（中外合作办学）（动画）专业要求无色盲、色弱。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、我校执行各省招生录取相关政策，招生录取以各省、市、区高考总分成绩排序，加分考生按加分后成绩排序，投档比例按生源省份要求执行。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志愿：对按顺序志愿投档的省份，首先录取第一志愿考生，当第一志愿生源不足时，按未录满的专业计划补缺录取其他志愿考生。对实行平行志愿的省份，首先录取先投档的考生，未录满的专业计划录取后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、专业志愿：进档考生专业确定采取</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方式，专业志愿无级差要求。未能满足专业安排条件的考生，如填报了</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，可调剂到未满专业；如未填报</w:t>
      </w:r>
      <w:r>
        <w:rPr>
          <w:rFonts w:ascii="Times New Roman" w:eastAsia="Times New Roman" w:hAnsi="Times New Roman" w:cs="Times New Roman"/>
        </w:rPr>
        <w:t xml:space="preserve"> “</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，则予以退档。在安排专业时，学校承认各省级招生考试机构制定的加分政策。中外合作办学专业及空中乘务专业只录取有专业志愿考生。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总分相同，优先录取有专业志愿考生，同等条件下，按单科顺序及分数从高到低排序。文科类专业以语文、外语、文综、数学为顺序，科目成绩高者优先录取；理科类专业以数学、外语、理综、语文为顺序，科目成绩高者优先录取；对口专业以综合、外语、数学、语文为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、高考改革省份按相关政策执行。江苏省考生学业水平测试选测科目等级要求</w:t>
      </w:r>
      <w:r>
        <w:rPr>
          <w:rFonts w:ascii="Times New Roman" w:eastAsia="Times New Roman" w:hAnsi="Times New Roman" w:cs="Times New Roman"/>
        </w:rPr>
        <w:t>“BC”</w:t>
      </w:r>
      <w:r>
        <w:rPr>
          <w:rFonts w:ascii="SimSun" w:eastAsia="SimSun" w:hAnsi="SimSun" w:cs="SimSun"/>
        </w:rPr>
        <w:t>及以上，按照先</w:t>
      </w:r>
      <w:r>
        <w:rPr>
          <w:rFonts w:ascii="Times New Roman" w:eastAsia="Times New Roman" w:hAnsi="Times New Roman" w:cs="Times New Roman"/>
        </w:rPr>
        <w:t>“</w:t>
      </w:r>
      <w:r>
        <w:rPr>
          <w:rFonts w:ascii="SimSun" w:eastAsia="SimSun" w:hAnsi="SimSun" w:cs="SimSun"/>
        </w:rPr>
        <w:t>分数后等级</w:t>
      </w:r>
      <w:r>
        <w:rPr>
          <w:rFonts w:ascii="Times New Roman" w:eastAsia="Times New Roman" w:hAnsi="Times New Roman" w:cs="Times New Roman"/>
        </w:rPr>
        <w:t>”</w:t>
      </w:r>
      <w:r>
        <w:rPr>
          <w:rFonts w:ascii="SimSun" w:eastAsia="SimSun" w:hAnsi="SimSun" w:cs="SimSun"/>
        </w:rPr>
        <w:t>的原则安排录取专业，等级优先顺序为：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A+C</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AC</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。若出现同分同等级情况，文科考生以语文成绩（含附加分）高者优先，理科考生以数学成绩（含附加分）高者优先。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、空中乘务专业录取原则：吉林省及江西省考生凭我校表演专业校考合格证（以下称</w:t>
      </w:r>
      <w:r>
        <w:rPr>
          <w:rFonts w:ascii="Times New Roman" w:eastAsia="Times New Roman" w:hAnsi="Times New Roman" w:cs="Times New Roman"/>
        </w:rPr>
        <w:t>“</w:t>
      </w:r>
      <w:r>
        <w:rPr>
          <w:rFonts w:ascii="SimSun" w:eastAsia="SimSun" w:hAnsi="SimSun" w:cs="SimSun"/>
        </w:rPr>
        <w:t>专业合格</w:t>
      </w:r>
      <w:r>
        <w:rPr>
          <w:rFonts w:ascii="Times New Roman" w:eastAsia="Times New Roman" w:hAnsi="Times New Roman" w:cs="Times New Roman"/>
        </w:rPr>
        <w:t>”</w:t>
      </w:r>
      <w:r>
        <w:rPr>
          <w:rFonts w:ascii="SimSun" w:eastAsia="SimSun" w:hAnsi="SimSun" w:cs="SimSun"/>
        </w:rPr>
        <w:t>），且一志愿报考我校空中乘务专业优先录取。一志愿</w:t>
      </w:r>
      <w:r>
        <w:rPr>
          <w:rFonts w:ascii="Times New Roman" w:eastAsia="Times New Roman" w:hAnsi="Times New Roman" w:cs="Times New Roman"/>
        </w:rPr>
        <w:t>“</w:t>
      </w:r>
      <w:r>
        <w:rPr>
          <w:rFonts w:ascii="SimSun" w:eastAsia="SimSun" w:hAnsi="SimSun" w:cs="SimSun"/>
        </w:rPr>
        <w:t>专业合格</w:t>
      </w:r>
      <w:r>
        <w:rPr>
          <w:rFonts w:ascii="Times New Roman" w:eastAsia="Times New Roman" w:hAnsi="Times New Roman" w:cs="Times New Roman"/>
        </w:rPr>
        <w:t>”</w:t>
      </w:r>
      <w:r>
        <w:rPr>
          <w:rFonts w:ascii="SimSun" w:eastAsia="SimSun" w:hAnsi="SimSun" w:cs="SimSun"/>
        </w:rPr>
        <w:t>考生生源不足时，按照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原则录取其他考生。考生毕业后若从事航空、高铁等行业相关工作，身体条件须符合该行业相关标准，请考生慎重报考。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凡报考我校艺术类专业考生，参加全国普通高等学校招生统一考试，文化课成绩须通过考生所在省份艺术类专业相应省控分数线，设置统考省份考生须通过该省艺术类专业统考本科合格线。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我校组织艺术类专业校考省份，考生须取得我校艺术类校考合格证方可报考我校艺术类相应专业，不允许跨省报考。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吉林省服装设计与工程、服装与服饰设计专业对口考生需参加吉林省对口艺术类专业考试并取得专业课加试成绩；戏剧与影视学类（中外合作办学）（动画）专业承认各省美术、设计类统考成绩。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进入文化课投档分数线的美术、设计类专业考生按照综合成绩排序，从高到低、择优录取；进入文化课投档分数线的表演专业考生按专业课成绩排序，从高到低、择优录取。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×100%</w:t>
      </w:r>
      <w:r>
        <w:rPr>
          <w:rFonts w:ascii="SimSun" w:eastAsia="SimSun" w:hAnsi="SimSun" w:cs="SimSun"/>
        </w:rPr>
        <w:t>（注：云南省美术、设计类专业综合成绩计算方式为：综合成绩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w:t>
      </w:r>
      <w:r>
        <w:rPr>
          <w:rFonts w:ascii="SimSun" w:eastAsia="SimSun" w:hAnsi="SimSun" w:cs="SimSun"/>
        </w:rPr>
        <w:t>文化课满分</w:t>
      </w:r>
      <w:r>
        <w:rPr>
          <w:rFonts w:ascii="Times New Roman" w:eastAsia="Times New Roman" w:hAnsi="Times New Roman" w:cs="Times New Roman"/>
        </w:rPr>
        <w:t>×30+</w:t>
      </w:r>
      <w:r>
        <w:rPr>
          <w:rFonts w:ascii="SimSun" w:eastAsia="SimSun" w:hAnsi="SimSun" w:cs="SimSun"/>
        </w:rPr>
        <w:t>专业课成绩</w:t>
      </w:r>
      <w:r>
        <w:rPr>
          <w:rFonts w:ascii="Times New Roman" w:eastAsia="Times New Roman" w:hAnsi="Times New Roman" w:cs="Times New Roman"/>
        </w:rPr>
        <w:t>÷</w:t>
      </w:r>
      <w:r>
        <w:rPr>
          <w:rFonts w:ascii="SimSun" w:eastAsia="SimSun" w:hAnsi="SimSun" w:cs="SimSun"/>
        </w:rPr>
        <w:t>专业课满分</w:t>
      </w:r>
      <w:r>
        <w:rPr>
          <w:rFonts w:ascii="Times New Roman" w:eastAsia="Times New Roman" w:hAnsi="Times New Roman" w:cs="Times New Roman"/>
        </w:rPr>
        <w:t>×70</w:t>
      </w:r>
      <w:r>
        <w:rPr>
          <w:rFonts w:ascii="SimSun" w:eastAsia="SimSun" w:hAnsi="SimSun" w:cs="SimSun"/>
        </w:rPr>
        <w:t>）。设置校考省份</w:t>
      </w:r>
      <w:r>
        <w:rPr>
          <w:rFonts w:ascii="Times New Roman" w:eastAsia="Times New Roman" w:hAnsi="Times New Roman" w:cs="Times New Roman"/>
        </w:rPr>
        <w:t>“</w:t>
      </w:r>
      <w:r>
        <w:rPr>
          <w:rFonts w:ascii="SimSun" w:eastAsia="SimSun" w:hAnsi="SimSun" w:cs="SimSun"/>
        </w:rPr>
        <w:t>专业课成绩</w:t>
      </w:r>
      <w:r>
        <w:rPr>
          <w:rFonts w:ascii="Times New Roman" w:eastAsia="Times New Roman" w:hAnsi="Times New Roman" w:cs="Times New Roman"/>
        </w:rPr>
        <w:t>”</w:t>
      </w:r>
      <w:r>
        <w:rPr>
          <w:rFonts w:ascii="SimSun" w:eastAsia="SimSun" w:hAnsi="SimSun" w:cs="SimSun"/>
        </w:rPr>
        <w:t>为我校相应专业校考成绩；其他省份</w:t>
      </w:r>
      <w:r>
        <w:rPr>
          <w:rFonts w:ascii="Times New Roman" w:eastAsia="Times New Roman" w:hAnsi="Times New Roman" w:cs="Times New Roman"/>
        </w:rPr>
        <w:t>“</w:t>
      </w:r>
      <w:r>
        <w:rPr>
          <w:rFonts w:ascii="SimSun" w:eastAsia="SimSun" w:hAnsi="SimSun" w:cs="SimSun"/>
        </w:rPr>
        <w:t>专业课成绩</w:t>
      </w:r>
      <w:r>
        <w:rPr>
          <w:rFonts w:ascii="Times New Roman" w:eastAsia="Times New Roman" w:hAnsi="Times New Roman" w:cs="Times New Roman"/>
        </w:rPr>
        <w:t>”</w:t>
      </w:r>
      <w:r>
        <w:rPr>
          <w:rFonts w:ascii="SimSun" w:eastAsia="SimSun" w:hAnsi="SimSun" w:cs="SimSun"/>
        </w:rPr>
        <w:t>为该省相应专业统考成绩。综合成绩相同时，设置校考省份优先录取相应专业校考成绩高者，其他省份优先录取相应专业统考成绩高者；若专业课成绩相同，按文化课单科顺序及分数从高到低排序，招生省份有相关规定按照要求执行，若无规定，艺术文类和艺术不分文理类以语文、外语、文科综合、数学为顺序，科目成绩高者优先录取；艺术理类以数学、外语、理科综合、语文为顺序，科目成绩高者优先录取。无语种和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新生入学后，学校按照国家有关规定对新生进行复查，如有舞弊行为的考生，取消其入学资格。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www.jlenu.edu.cn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通讯地址：吉林省长春市宽城区凯旋路</w:t>
      </w:r>
      <w:r>
        <w:rPr>
          <w:rFonts w:ascii="Times New Roman" w:eastAsia="Times New Roman" w:hAnsi="Times New Roman" w:cs="Times New Roman"/>
        </w:rPr>
        <w:t>3050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0431-86908039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人：朴金哲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白城师范学院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1.html" TargetMode="External" /><Relationship Id="rId12" Type="http://schemas.openxmlformats.org/officeDocument/2006/relationships/hyperlink" Target="http://www.gk114.com/a/gxzs/zszc/jilin/2022/0508/22368.html" TargetMode="External" /><Relationship Id="rId13" Type="http://schemas.openxmlformats.org/officeDocument/2006/relationships/hyperlink" Target="http://www.gk114.com/a/gxzs/zszc/jilin/2022/0508/22366.html" TargetMode="External" /><Relationship Id="rId14" Type="http://schemas.openxmlformats.org/officeDocument/2006/relationships/hyperlink" Target="http://www.gk114.com/a/gxzs/zszc/jilin/2022/0508/22365.html" TargetMode="External" /><Relationship Id="rId15" Type="http://schemas.openxmlformats.org/officeDocument/2006/relationships/hyperlink" Target="http://www.gk114.com/a/gxzs/zszc/jilin/2022/0508/22364.html" TargetMode="External" /><Relationship Id="rId16" Type="http://schemas.openxmlformats.org/officeDocument/2006/relationships/hyperlink" Target="http://www.gk114.com/a/gxzs/zszc/jilin/2022/0508/2236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18.html" TargetMode="External" /><Relationship Id="rId5" Type="http://schemas.openxmlformats.org/officeDocument/2006/relationships/hyperlink" Target="http://www.gk114.com/a/gxzs/zszc/jilin/2019/0221/652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