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吉林建筑大学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本章程适用于我校本年度普通高等教育的本科招生工作。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学校全称：吉林建筑大学；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国标代码：</w:t>
      </w:r>
      <w:r>
        <w:rPr>
          <w:rFonts w:ascii="Times New Roman" w:eastAsia="Times New Roman" w:hAnsi="Times New Roman" w:cs="Times New Roman"/>
        </w:rPr>
        <w:t>10191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学校地址：吉林省长春市净月开发区新城大街</w:t>
      </w:r>
      <w:r>
        <w:rPr>
          <w:rFonts w:ascii="Times New Roman" w:eastAsia="Times New Roman" w:hAnsi="Times New Roman" w:cs="Times New Roman"/>
        </w:rPr>
        <w:t>5088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学生完成培养方案要求的教学内容，成绩合格，符合毕业条件，本科毕业生由吉林建筑大学颁发国家规定的本科毕业证书。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测绘类专业学校标准为每生每学年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管理科学与工程类学费标准为每生每学年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地质类专业学费标准为每生每学年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按专业招生的学费标准：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地理信息科学专业学费标准为每生每学年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工程力学专业学费标准为每生每学年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材料化学专业学费标准为每生每学年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无机非金属材料工程专业学费标准为每生每学年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高分子材料与工程专业学费标准为每生每学年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电子信息科学与技术专业学费标准为每生每学年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建筑环境与能源应用工程专业学费标准为每生每学年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给排水科学与工程专业学费标准为每生每学年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建筑电气与智能化专业学费标准为每生每学年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城市地下空间工程专业学费标准为每生每学年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道路桥梁与渡河工程专业学费标准为每生每学年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信息安全专业学费标准为每生每学年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环境科学专业学费标准为每生每学年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城乡规划专业学费标准为每生每学年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公共艺术专业学费标准为每生每学年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产品设计专业学费标准为每生每学年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书法学专业学费标准为每生每学年</w:t>
      </w:r>
      <w:r>
        <w:rPr>
          <w:rFonts w:ascii="Times New Roman" w:eastAsia="Times New Roman" w:hAnsi="Times New Roman" w:cs="Times New Roman"/>
        </w:rPr>
        <w:t>9500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电气工程及其自动化（中外合作办学）专业学费标准为每生每学年</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按专业类录取的学生，通识教育培养期间，按专业类学费标准收取，专业分流后，按分流专业学费标准收取。按专业录取的学生，学校按照专业收费标准收取。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我校学生资助体系完备，资助工作开展有序，有关制度科学规范，按照《关于建立健全普通本科高校、高等职业学校和中等职业学校家庭经济困难学生资助政策体系的意见》要求</w:t>
      </w:r>
      <w:r>
        <w:rPr>
          <w:rFonts w:ascii="Times New Roman" w:eastAsia="Times New Roman" w:hAnsi="Times New Roman" w:cs="Times New Roman"/>
        </w:rPr>
        <w:t>,</w:t>
      </w:r>
      <w:r>
        <w:rPr>
          <w:rFonts w:ascii="SimSun" w:eastAsia="SimSun" w:hAnsi="SimSun" w:cs="SimSun"/>
        </w:rPr>
        <w:t>已经形成</w:t>
      </w:r>
      <w:r>
        <w:rPr>
          <w:rFonts w:ascii="Times New Roman" w:eastAsia="Times New Roman" w:hAnsi="Times New Roman" w:cs="Times New Roman"/>
        </w:rPr>
        <w:t>“</w:t>
      </w:r>
      <w:r>
        <w:rPr>
          <w:rFonts w:ascii="SimSun" w:eastAsia="SimSun" w:hAnsi="SimSun" w:cs="SimSun"/>
        </w:rPr>
        <w:t>解困、育人、成才、回馈</w:t>
      </w:r>
      <w:r>
        <w:rPr>
          <w:rFonts w:ascii="Times New Roman" w:eastAsia="Times New Roman" w:hAnsi="Times New Roman" w:cs="Times New Roman"/>
        </w:rPr>
        <w:t>”</w:t>
      </w:r>
      <w:r>
        <w:rPr>
          <w:rFonts w:ascii="SimSun" w:eastAsia="SimSun" w:hAnsi="SimSun" w:cs="SimSun"/>
        </w:rPr>
        <w:t>的良性循环态势。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如暂时筹集不齐学费和住宿费，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国家政策要求，对孤残、烈士子女、优抚家庭子女、参军立功复员后复学等家庭经济条件特别困难、学习成绩优异的学生实施减免学费制度。学生家庭出现如洪涝、家庭成员重病等特殊情况，经学生申请、学校核实确认后，可享受到临时困难补助资助。对于家庭经济困难学生，在入学时可办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，可以在没有缴纳学费时办理学籍注册等。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w:t>
      </w:r>
      <w:r>
        <w:rPr>
          <w:rFonts w:ascii="SimSun" w:eastAsia="SimSun" w:hAnsi="SimSun" w:cs="SimSun"/>
        </w:rPr>
        <w:t>的经费，以校内奖学金、勤工助学补助等形式资助家庭经济困难学生。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我校各专业不限外语语种。土木工程（中外合作办学、</w:t>
      </w:r>
      <w:r>
        <w:rPr>
          <w:rFonts w:ascii="Times New Roman" w:eastAsia="Times New Roman" w:hAnsi="Times New Roman" w:cs="Times New Roman"/>
        </w:rPr>
        <w:t>081001H</w:t>
      </w:r>
      <w:r>
        <w:rPr>
          <w:rFonts w:ascii="SimSun" w:eastAsia="SimSun" w:hAnsi="SimSun" w:cs="SimSun"/>
        </w:rPr>
        <w:t>）和电气工程及其自动化（中外合作办学、</w:t>
      </w:r>
      <w:r>
        <w:rPr>
          <w:rFonts w:ascii="Times New Roman" w:eastAsia="Times New Roman" w:hAnsi="Times New Roman" w:cs="Times New Roman"/>
        </w:rPr>
        <w:t>080601H</w:t>
      </w:r>
      <w:r>
        <w:rPr>
          <w:rFonts w:ascii="SimSun" w:eastAsia="SimSun" w:hAnsi="SimSun" w:cs="SimSun"/>
        </w:rPr>
        <w:t>）分别与美国波特兰州立大学、美国杨斯顿州立大学合作，宜英语语种考生报考。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各专业招生男女比例不限。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对考生身体健康状况的要求，执行教育部、卫生部、中国残疾人联合会制定并下发的《普通高等学校招生体检工作指导意见》及相关补充规定。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我校根据各省（区、市）生源情况确定提档比例，顺序志愿提档比例原则上控制在考生当地招生计划的</w:t>
      </w:r>
      <w:r>
        <w:rPr>
          <w:rFonts w:ascii="Times New Roman" w:eastAsia="Times New Roman" w:hAnsi="Times New Roman" w:cs="Times New Roman"/>
        </w:rPr>
        <w:t>120%</w:t>
      </w:r>
      <w:r>
        <w:rPr>
          <w:rFonts w:ascii="SimSun" w:eastAsia="SimSun" w:hAnsi="SimSun" w:cs="SimSun"/>
        </w:rPr>
        <w:t>以内，平行志愿调档比例原则上控制在</w:t>
      </w:r>
      <w:r>
        <w:rPr>
          <w:rFonts w:ascii="Times New Roman" w:eastAsia="Times New Roman" w:hAnsi="Times New Roman" w:cs="Times New Roman"/>
        </w:rPr>
        <w:t>105%</w:t>
      </w:r>
      <w:r>
        <w:rPr>
          <w:rFonts w:ascii="SimSun" w:eastAsia="SimSun" w:hAnsi="SimSun" w:cs="SimSun"/>
        </w:rPr>
        <w:t>以内。具体提档比例结合各省相关文件并参考该省生源情况酌情确定。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志愿：对于进档考生，按分数优先（投档成绩）、参考志愿、无级差的原则进行录取；如考生所报专业志愿未能录取，则根据考生成绩调剂到未录取满额并符合培养要求的专业录取，不服从调剂者，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我校原则上承认各省（区、市）招生主管部门根据教育部相关政策给予考生的政策性加分；给予考生分配专业时</w:t>
      </w:r>
      <w:r>
        <w:rPr>
          <w:rFonts w:ascii="Times New Roman" w:eastAsia="Times New Roman" w:hAnsi="Times New Roman" w:cs="Times New Roman"/>
        </w:rPr>
        <w:t>,</w:t>
      </w:r>
      <w:r>
        <w:rPr>
          <w:rFonts w:ascii="SimSun" w:eastAsia="SimSun" w:hAnsi="SimSun" w:cs="SimSun"/>
        </w:rPr>
        <w:t>若成绩并列相同</w:t>
      </w:r>
      <w:r>
        <w:rPr>
          <w:rFonts w:ascii="Times New Roman" w:eastAsia="Times New Roman" w:hAnsi="Times New Roman" w:cs="Times New Roman"/>
        </w:rPr>
        <w:t>,</w:t>
      </w:r>
      <w:r>
        <w:rPr>
          <w:rFonts w:ascii="SimSun" w:eastAsia="SimSun" w:hAnsi="SimSun" w:cs="SimSun"/>
        </w:rPr>
        <w:t>则高考实际分数高者优先。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投档成绩相同的考生，如果其所在省市已经规定了相关的排序办法，则按照该省市的办法执行；如果其所在省市没有规定排序办法，则按照我校规定的办法执行，即对投档成绩相同的报考建筑学、城乡规划专业和其他文科考生顺序比较外语、文科综合、语文、数学；其他理科专业顺序比较数学、理科综合、外语、语文，分数高者优先录取及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录取到建筑学、城乡规划、风景园林专业的考生，须具备一定绘画基础，入学后须加试徒手画，加试不合格者将转入其他专业。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我校部分专业按大类招生录取，由所在学院按学校相关文件负责分流；分流基本原则：分数优先、参考志愿。分流时间、分流办法详情参阅大类招生专业所在学院网站。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按教育部文件要求，我校美术学类和设计学类专业采用招生省份统考成绩，即：不在各招生省份设立校考考点，考生参加所在省的美术与设计类省统考并取得合格成绩，在文化课成绩合格后，就有资格报考我校。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报考我校环境设计、视觉传达设计、公共艺术、产品设计专业的考生，录取时按投档考生的总分（总分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×100%</w:t>
      </w:r>
      <w:r>
        <w:rPr>
          <w:rFonts w:ascii="SimSun" w:eastAsia="SimSun" w:hAnsi="SimSun" w:cs="SimSun"/>
        </w:rPr>
        <w:t>）从高到低录取，若多名考生总分并列相同，专业课成绩高者优先录取（专业课成绩再次相同，素描成绩高者优先）。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我校投放招生计划且该省组织书法省统考的省份，我校直接使用书法统考成绩作为考生的专业考试成绩，按照招生章程中确定的录取原则进行录取；考生需取得招生省份的书法统考合格成绩方可报考我校。</w:t>
      </w:r>
      <w:r>
        <w:rPr>
          <w:rFonts w:ascii="Times New Roman" w:eastAsia="Times New Roman" w:hAnsi="Times New Roman" w:cs="Times New Roman"/>
        </w:rPr>
        <w:t>2019</w:t>
      </w:r>
      <w:r>
        <w:rPr>
          <w:rFonts w:ascii="SimSun" w:eastAsia="SimSun" w:hAnsi="SimSun" w:cs="SimSun"/>
        </w:rPr>
        <w:t>年使用统考成绩招生省份暂定为：山西、甘肃、河南、湖南、安徽。具体以招生省份公布计划为准。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考生所在省没有组织书法省统考且我校拟投放招生计划的省份，我校按照国家教育部和招生省份文件精神，协商申请设立校考考点</w:t>
      </w:r>
      <w:r>
        <w:rPr>
          <w:rFonts w:ascii="Times New Roman" w:eastAsia="Times New Roman" w:hAnsi="Times New Roman" w:cs="Times New Roman"/>
        </w:rPr>
        <w:t>;</w:t>
      </w:r>
      <w:r>
        <w:rPr>
          <w:rFonts w:ascii="SimSun" w:eastAsia="SimSun" w:hAnsi="SimSun" w:cs="SimSun"/>
        </w:rPr>
        <w:t>考生需取得我校校考合格成绩方可报考我校。</w:t>
      </w:r>
      <w:r>
        <w:rPr>
          <w:rFonts w:ascii="Times New Roman" w:eastAsia="Times New Roman" w:hAnsi="Times New Roman" w:cs="Times New Roman"/>
        </w:rPr>
        <w:t>2019</w:t>
      </w:r>
      <w:r>
        <w:rPr>
          <w:rFonts w:ascii="SimSun" w:eastAsia="SimSun" w:hAnsi="SimSun" w:cs="SimSun"/>
        </w:rPr>
        <w:t>年我校书法校考省份有吉林、江苏、山东、云南。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报考我校书法学的考生，录取时按投档考生的总分（总分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w:t>
      </w:r>
      <w:r>
        <w:rPr>
          <w:rFonts w:ascii="SimSun" w:eastAsia="SimSun" w:hAnsi="SimSun" w:cs="SimSun"/>
        </w:rPr>
        <w:t>专业课成绩）从高到低录取，若多名考生总分并列相同，文化课成绩高者优先录取（文化课成绩再相同，语文成绩高者优先录取）。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我校在吉林、辽宁、内蒙古、新疆四省（区）招收理工类少数民族预科生，该省少数民族考生有报考资格。预科学习一年，一年后按考生成绩结合考生志愿重新选择专业。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我校在江苏省录取原则除遵循以上条款外，划线办法、投档办法及填报志愿要求均按照江苏省文件规定执行；选测科目等级为</w:t>
      </w:r>
      <w:r>
        <w:rPr>
          <w:rFonts w:ascii="Times New Roman" w:eastAsia="Times New Roman" w:hAnsi="Times New Roman" w:cs="Times New Roman"/>
        </w:rPr>
        <w:t>2B</w:t>
      </w:r>
      <w:r>
        <w:rPr>
          <w:rFonts w:ascii="SimSun" w:eastAsia="SimSun" w:hAnsi="SimSun" w:cs="SimSun"/>
        </w:rPr>
        <w:t>以上，一门选测科目为历史或物理，另一门选测科目不限；必测科目等级</w:t>
      </w:r>
      <w:r>
        <w:rPr>
          <w:rFonts w:ascii="Times New Roman" w:eastAsia="Times New Roman" w:hAnsi="Times New Roman" w:cs="Times New Roman"/>
        </w:rPr>
        <w:t>4C</w:t>
      </w:r>
      <w:r>
        <w:rPr>
          <w:rFonts w:ascii="SimSun" w:eastAsia="SimSun" w:hAnsi="SimSun" w:cs="SimSun"/>
        </w:rPr>
        <w:t>以上；考生进档后排序规则为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。同分情况下，按两门选测科目等级择优录取。优先录取的等级顺序为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→AA→A</w:t>
      </w:r>
      <w:r>
        <w:rPr>
          <w:rFonts w:ascii="SimSun" w:eastAsia="SimSun" w:hAnsi="SimSun" w:cs="SimSun"/>
        </w:rPr>
        <w:t>＋</w:t>
      </w:r>
      <w:r>
        <w:rPr>
          <w:rFonts w:ascii="Times New Roman" w:eastAsia="Times New Roman" w:hAnsi="Times New Roman" w:cs="Times New Roman"/>
        </w:rPr>
        <w:t>B→AB</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C→AB→B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→AC→B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C→BB→BC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我校中外合作办学专业建筑学（中外合作办学、</w:t>
      </w:r>
      <w:r>
        <w:rPr>
          <w:rFonts w:ascii="Times New Roman" w:eastAsia="Times New Roman" w:hAnsi="Times New Roman" w:cs="Times New Roman"/>
        </w:rPr>
        <w:t>082801H</w:t>
      </w:r>
      <w:r>
        <w:rPr>
          <w:rFonts w:ascii="SimSun" w:eastAsia="SimSun" w:hAnsi="SimSun" w:cs="SimSun"/>
        </w:rPr>
        <w:t>）、土木工程（中外合作办学、</w:t>
      </w:r>
      <w:r>
        <w:rPr>
          <w:rFonts w:ascii="Times New Roman" w:eastAsia="Times New Roman" w:hAnsi="Times New Roman" w:cs="Times New Roman"/>
        </w:rPr>
        <w:t>081001H</w:t>
      </w:r>
      <w:r>
        <w:rPr>
          <w:rFonts w:ascii="SimSun" w:eastAsia="SimSun" w:hAnsi="SimSun" w:cs="SimSun"/>
        </w:rPr>
        <w:t>）、工程管理（中外合作办学、</w:t>
      </w:r>
      <w:r>
        <w:rPr>
          <w:rFonts w:ascii="Times New Roman" w:eastAsia="Times New Roman" w:hAnsi="Times New Roman" w:cs="Times New Roman"/>
        </w:rPr>
        <w:t>120103H</w:t>
      </w:r>
      <w:r>
        <w:rPr>
          <w:rFonts w:ascii="SimSun" w:eastAsia="SimSun" w:hAnsi="SimSun" w:cs="SimSun"/>
        </w:rPr>
        <w:t>）、电气工程及其自动化（中外合作办学、</w:t>
      </w:r>
      <w:r>
        <w:rPr>
          <w:rFonts w:ascii="Times New Roman" w:eastAsia="Times New Roman" w:hAnsi="Times New Roman" w:cs="Times New Roman"/>
        </w:rPr>
        <w:t>080601H</w:t>
      </w:r>
      <w:r>
        <w:rPr>
          <w:rFonts w:ascii="SimSun" w:eastAsia="SimSun" w:hAnsi="SimSun" w:cs="SimSun"/>
        </w:rPr>
        <w:t>）只录取有专业志愿的考生（考生如果填报了其中的某一个中外合作办学专业且服从专业调剂，当该专业无法录取时，视作该生同意调剂到其他未录满的中外合作办学专业）。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我校对浙江省考生的录取规则、选考科目要求均以浙江省考试院公布及备案为准。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如果个别省制定的录取原则与本章程相矛盾，以该省制定的录取原则为准。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通讯地址：吉林省长春市净月开发区新城大街</w:t>
      </w:r>
      <w:r>
        <w:rPr>
          <w:rFonts w:ascii="Times New Roman" w:eastAsia="Times New Roman" w:hAnsi="Times New Roman" w:cs="Times New Roman"/>
        </w:rPr>
        <w:t>5088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130118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0431-84566063  84566071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注：本校网络在线咨询答疑平台为：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教育部阳光高考院校信息平台</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http://gaokao.chsi.com.cn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此章程由学校负责解释，本章程未尽事宜，按照国家和各省招生政策执行。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84.html" TargetMode="External" /><Relationship Id="rId5" Type="http://schemas.openxmlformats.org/officeDocument/2006/relationships/hyperlink" Target="http://www.gk114.com/a/gxzs/zszc/jilin/2019/0627/1028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