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吉林建筑科技学院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学校全称：吉林建筑科技学院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学校地址：吉林省长春市宽城区学建大路</w:t>
      </w:r>
      <w:r>
        <w:rPr>
          <w:rFonts w:ascii="Times New Roman" w:eastAsia="Times New Roman" w:hAnsi="Times New Roman" w:cs="Times New Roman"/>
        </w:rPr>
        <w:t>1111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安全工程专业学费标准为每生每学年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交通工程专业学费标准为每生每学年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测绘工程专业学费标准为每生每学年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环境工程专业学费标准为每生每学年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能源与动力工程专业学费标准为每生每学年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房地产开发与管理专业学费标准为每生每学年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资产评估专业学费标准为每生每学年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建筑学专业学费标准为每生每学年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城乡规划专业学费标准为每生每学年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道路桥梁与渡河工程专业学费标准为每生每学年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城市地下空间工程专业学费标准为每生每学年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建筑环境与能源应用工程专业学费标准为每生每学年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给排水科学与工程专业学费标准为每生每学年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建筑电气与智能化专业学费标准为每生每学年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风景园林专业学费标准为每生每学年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测控技术与仪器专业学费标准为每生每学年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公共艺术专业学费标准为每生每学年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21600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新能源科学与工程专业学费标准为每生每学年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交通设备与控制工程专业学费标准为每生每学年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审计学专业学费标准为每生每学年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遥感科学与技术专业学费标准为每生每学年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书法学专业学费标准为每生每学年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学生完成培养方案要求的教学内容，成绩合格，符合毕业条件的本科毕业生由吉林建筑科技学院颁发国家规定的本科毕业证书。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生源地信用助学贷款、退役士兵教育资助、服义务兵役国家资助、直招士官国家资助、勤工助学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报到。入校后，由学校核实认定后采取不同措施给予资助。其中解决学费、住宿费以生源地信用助学贷款为主，国家励志奖学金等为辅；解决生活费以国家助学金为主、勤工助学等为辅。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同时，我校从学费收入中提取</w:t>
      </w:r>
      <w:r>
        <w:rPr>
          <w:rFonts w:ascii="Times New Roman" w:eastAsia="Times New Roman" w:hAnsi="Times New Roman" w:cs="Times New Roman"/>
        </w:rPr>
        <w:t>5%</w:t>
      </w:r>
      <w:r>
        <w:rPr>
          <w:rFonts w:ascii="SimSun" w:eastAsia="SimSun" w:hAnsi="SimSun" w:cs="SimSun"/>
        </w:rPr>
        <w:t>经费用于资助家庭经济困难学生，资助主要项目为：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、学生奖学金。学生奖学金评定等级分一、二、三等奖学金，一等奖学金：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学期；二等奖学金：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学期；三等奖学金：</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学期。奖学金覆盖面占在校学生的</w:t>
      </w:r>
      <w:r>
        <w:rPr>
          <w:rFonts w:ascii="Times New Roman" w:eastAsia="Times New Roman" w:hAnsi="Times New Roman" w:cs="Times New Roman"/>
        </w:rPr>
        <w:t>15%</w:t>
      </w:r>
      <w:r>
        <w:rPr>
          <w:rFonts w:ascii="SimSun" w:eastAsia="SimSun" w:hAnsi="SimSun" w:cs="SimSun"/>
        </w:rPr>
        <w:t>。学生奖学金每学期评定一次，在籍学生均可参加评选，在新学期开学后两周内评定完成。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、城建励志奖学金。城建励志奖学金评定金额为</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人。每年评定一次，在籍学生均可参加评选。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、设立勤工助学岗位。学生入学后，经学校核实认定的家庭困难学生可申请学校勤工助学岗位，获得相应的经济资助。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本人及其家庭的经济能力难以满足在校期间的学习、生活基本支出的学生。程序是学生需向学校申报家庭经济困难，由学校根据有关部门设置的标准和规定的程序、以民主评议方式认定。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除英语专业招收英语考生外，其它专业不限制外语语种。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以内。如生源省份投档比例有特殊规定，从其规定；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二、在第一志愿生源不足的情况下，按照各省（市、区）投档原则，依次录取其他志愿考生；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三、进档考生的专业录取原则：学校对进档考生实行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对进档考生先按照投档分数从高到低排序，从高分到低分按照每名考生的专业志愿顺序逐一进行检索录取，当第一专业志愿不能录取时，检索其第二专业志愿，以此类推。总分相同专业志愿相同的考生，比较文化总分，文化总分也相同，文史类考生依次按语文、外语、文科综合、数学单项科目顺序比较成绩，理工类考生依次按数学、外语、理科综合、语文单项科目顺序比较成绩，不分文理类考生依次按文化总分，语文和数学总分、外语单科顺序比较成绩。所有专业志愿都无法满足且服从专业调剂的考生，依次从高分到低分调剂到未录满的专业。所有专业志愿都无法满足且不服从专业调剂或服从调剂但分数未达到调剂标准的考生，均做退档处理。按平行志愿投档的省区，对未能按志愿进入专业且不服从调剂的考生，做退档处理。有关省招生部门有明确录取规定，则按该省录取规则执行。</w:t>
      </w:r>
      <w:r>
        <w:rPr>
          <w:rFonts w:ascii="Times New Roman" w:eastAsia="Times New Roman" w:hAnsi="Times New Roman" w:cs="Times New Roman"/>
        </w:rPr>
        <w:t xml:space="preserve"> </w:t>
      </w:r>
      <w:r>
        <w:rPr>
          <w:rFonts w:ascii="SimSun" w:eastAsia="SimSun" w:hAnsi="SimSun" w:cs="SimSun"/>
        </w:rPr>
        <w:t>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的录取原则，总分相同专业志愿相同的考生参照本条内比较办法；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四、执行各省（市、区）招办有关加分或降分投档政策；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类录取原则：在思想政治品德考核和体检合格、文化课成绩达到考生所在省的艺术类专业本科录取控制分数线、取得省级美术类专业统考合格证（在吉林省报考书法学专业应取得本科普通高等学校校考专业合格证）的考生，方可报考我校。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使用省统考合格证录取，按综合成绩进行排序择优录取：综合成绩</w:t>
      </w:r>
      <w:r>
        <w:rPr>
          <w:rFonts w:ascii="Times New Roman" w:eastAsia="Times New Roman" w:hAnsi="Times New Roman" w:cs="Times New Roman"/>
        </w:rPr>
        <w:t>=(</w:t>
      </w:r>
      <w:r>
        <w:rPr>
          <w:rFonts w:ascii="SimSun" w:eastAsia="SimSun" w:hAnsi="SimSun" w:cs="SimSun"/>
        </w:rPr>
        <w:t>专业成绩总</w:t>
      </w:r>
      <w:r>
        <w:rPr>
          <w:rFonts w:ascii="Times New Roman" w:eastAsia="Times New Roman" w:hAnsi="Times New Roman" w:cs="Times New Roman"/>
        </w:rPr>
        <w:t>×100%)+(</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综合成绩从高分到低分按照每名考生的专业志愿顺序逐一进行检索录取，当第一专业志愿不能录取时，检索其第二专业志愿，以此类推。如综合成绩相同专业志愿相同，有关省有等级要求则等级高者优先录取，等级相同或无等级要求</w:t>
      </w:r>
      <w:r>
        <w:rPr>
          <w:rFonts w:ascii="Times New Roman" w:eastAsia="Times New Roman" w:hAnsi="Times New Roman" w:cs="Times New Roman"/>
        </w:rPr>
        <w:t>,</w:t>
      </w:r>
      <w:r>
        <w:rPr>
          <w:rFonts w:ascii="SimSun" w:eastAsia="SimSun" w:hAnsi="SimSun" w:cs="SimSun"/>
        </w:rPr>
        <w:t>专业成绩高者优先录取，若专业成绩再相同，素描成绩高者优先录取，若素描成绩再相同或无专业课单科成绩，则比较文化课单科成绩：文史类考生依次按语文、外语、文科综合、数学单项科目顺序比较成绩，理工类考生依次按数学、外语、理科综合、语文单项科目顺序比较成绩，不分文理类考生依次按文化总分，语文和数学总分、外语单科顺序比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内蒙古实行</w:t>
      </w:r>
      <w:r>
        <w:rPr>
          <w:rFonts w:ascii="Times New Roman" w:eastAsia="Times New Roman" w:hAnsi="Times New Roman" w:cs="Times New Roman"/>
        </w:rPr>
        <w:t>“</w:t>
      </w:r>
      <w:r>
        <w:rPr>
          <w:rFonts w:ascii="SimSun" w:eastAsia="SimSun" w:hAnsi="SimSun" w:cs="SimSun"/>
        </w:rPr>
        <w:t>按文化课成绩</w:t>
      </w:r>
      <w:r>
        <w:rPr>
          <w:rFonts w:ascii="Times New Roman" w:eastAsia="Times New Roman" w:hAnsi="Times New Roman" w:cs="Times New Roman"/>
        </w:rPr>
        <w:t>×40%+</w:t>
      </w:r>
      <w:r>
        <w:rPr>
          <w:rFonts w:ascii="SimSun" w:eastAsia="SimSun" w:hAnsi="SimSun" w:cs="SimSun"/>
        </w:rPr>
        <w:t>美术联考成绩</w:t>
      </w:r>
      <w:r>
        <w:rPr>
          <w:rFonts w:ascii="Times New Roman" w:eastAsia="Times New Roman" w:hAnsi="Times New Roman" w:cs="Times New Roman"/>
        </w:rPr>
        <w:t>×60%”</w:t>
      </w:r>
      <w:r>
        <w:rPr>
          <w:rFonts w:ascii="SimSun" w:eastAsia="SimSun" w:hAnsi="SimSun" w:cs="SimSun"/>
        </w:rPr>
        <w:t>进行排序，排序后分专业按专业志愿清进行录取，排序成绩相同专业志愿相同的考生参照本条内比较办法。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六、学校在江苏省录取原则除遵循以上条款外，江苏考生选测科目等级均不得低于</w:t>
      </w:r>
      <w:r>
        <w:rPr>
          <w:rFonts w:ascii="Times New Roman" w:eastAsia="Times New Roman" w:hAnsi="Times New Roman" w:cs="Times New Roman"/>
        </w:rPr>
        <w:t>CC</w:t>
      </w:r>
      <w:r>
        <w:rPr>
          <w:rFonts w:ascii="SimSun" w:eastAsia="SimSun" w:hAnsi="SimSun" w:cs="SimSun"/>
        </w:rPr>
        <w:t>，必测科目等级</w:t>
      </w:r>
      <w:r>
        <w:rPr>
          <w:rFonts w:ascii="Times New Roman" w:eastAsia="Times New Roman" w:hAnsi="Times New Roman" w:cs="Times New Roman"/>
        </w:rPr>
        <w:t>4C</w:t>
      </w:r>
      <w:r>
        <w:rPr>
          <w:rFonts w:ascii="SimSun" w:eastAsia="SimSun" w:hAnsi="SimSun" w:cs="SimSun"/>
        </w:rPr>
        <w:t>以上；录取时采用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的办法进行录取</w:t>
      </w:r>
      <w:r>
        <w:rPr>
          <w:rFonts w:ascii="Times New Roman" w:eastAsia="Times New Roman" w:hAnsi="Times New Roman" w:cs="Times New Roman"/>
        </w:rPr>
        <w:t>.</w:t>
      </w:r>
      <w:r>
        <w:rPr>
          <w:rFonts w:ascii="SimSun" w:eastAsia="SimSun" w:hAnsi="SimSun" w:cs="SimSun"/>
        </w:rPr>
        <w:t>文科类考生选测科目须为历史，理科类考生选测科目须为物理，另一门选测科目不限；同分情况下，按两门选测科目等级择优录取。等级优先顺序为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&gt;A</w:t>
      </w:r>
      <w:r>
        <w:rPr>
          <w:rFonts w:ascii="SimSun" w:eastAsia="SimSun" w:hAnsi="SimSun" w:cs="SimSun"/>
        </w:rPr>
        <w:t>＋</w:t>
      </w:r>
      <w:r>
        <w:rPr>
          <w:rFonts w:ascii="Times New Roman" w:eastAsia="Times New Roman" w:hAnsi="Times New Roman" w:cs="Times New Roman"/>
        </w:rPr>
        <w:t>A&gt;A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&gt;AA&gt;A</w:t>
      </w:r>
      <w:r>
        <w:rPr>
          <w:rFonts w:ascii="SimSun" w:eastAsia="SimSun" w:hAnsi="SimSun" w:cs="SimSun"/>
        </w:rPr>
        <w:t>＋</w:t>
      </w:r>
      <w:r>
        <w:rPr>
          <w:rFonts w:ascii="Times New Roman" w:eastAsia="Times New Roman" w:hAnsi="Times New Roman" w:cs="Times New Roman"/>
        </w:rPr>
        <w:t>B&gt;AB</w:t>
      </w:r>
      <w:r>
        <w:rPr>
          <w:rFonts w:ascii="SimSun" w:eastAsia="SimSun" w:hAnsi="SimSun" w:cs="SimSun"/>
        </w:rPr>
        <w:t>＋</w:t>
      </w:r>
      <w:r>
        <w:rPr>
          <w:rFonts w:ascii="Times New Roman" w:eastAsia="Times New Roman" w:hAnsi="Times New Roman" w:cs="Times New Roman"/>
        </w:rPr>
        <w:t>&gt;A</w:t>
      </w:r>
      <w:r>
        <w:rPr>
          <w:rFonts w:ascii="SimSun" w:eastAsia="SimSun" w:hAnsi="SimSun" w:cs="SimSun"/>
        </w:rPr>
        <w:t>＋</w:t>
      </w:r>
      <w:r>
        <w:rPr>
          <w:rFonts w:ascii="Times New Roman" w:eastAsia="Times New Roman" w:hAnsi="Times New Roman" w:cs="Times New Roman"/>
        </w:rPr>
        <w:t>C&gt;AB&gt;B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&gt;AC&gt;B</w:t>
      </w:r>
      <w:r>
        <w:rPr>
          <w:rFonts w:ascii="SimSun" w:eastAsia="SimSun" w:hAnsi="SimSun" w:cs="SimSun"/>
        </w:rPr>
        <w:t>＋</w:t>
      </w:r>
      <w:r>
        <w:rPr>
          <w:rFonts w:ascii="Times New Roman" w:eastAsia="Times New Roman" w:hAnsi="Times New Roman" w:cs="Times New Roman"/>
        </w:rPr>
        <w:t>B&gt;B</w:t>
      </w:r>
      <w:r>
        <w:rPr>
          <w:rFonts w:ascii="SimSun" w:eastAsia="SimSun" w:hAnsi="SimSun" w:cs="SimSun"/>
        </w:rPr>
        <w:t>＋</w:t>
      </w:r>
      <w:r>
        <w:rPr>
          <w:rFonts w:ascii="Times New Roman" w:eastAsia="Times New Roman" w:hAnsi="Times New Roman" w:cs="Times New Roman"/>
        </w:rPr>
        <w:t>C&gt;BB&gt;BC&gt;CC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实行全国高考综合改革的省份，学校录取原则除遵循以上条款外，考生选考科目按照所在生源地招生主管部门公布的学校选考科目为准；如果录取原则与生源地招生主管部门制定的招生录取政策有冲突，按照当地招生主管部门公布的当年招生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有关省招生部门有明确录取规定，则按该省录取规则执行。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http://www.jlucc.edu.cn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通讯地址：吉林省长春市宽城区学建大路</w:t>
      </w:r>
      <w:r>
        <w:rPr>
          <w:rFonts w:ascii="Times New Roman" w:eastAsia="Times New Roman" w:hAnsi="Times New Roman" w:cs="Times New Roman"/>
        </w:rPr>
        <w:t>1111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0431-81865507  81865508  81865509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联系人：才老师</w:t>
      </w:r>
      <w:r>
        <w:rPr>
          <w:rFonts w:ascii="Times New Roman" w:eastAsia="Times New Roman" w:hAnsi="Times New Roman" w:cs="Times New Roman"/>
        </w:rPr>
        <w:t xml:space="preserve"> </w:t>
      </w:r>
      <w:r>
        <w:rPr>
          <w:rFonts w:ascii="SimSun" w:eastAsia="SimSun" w:hAnsi="SimSun" w:cs="SimSun"/>
        </w:rPr>
        <w:t>王老师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本章程无特别要求及未尽事宜，按照国家招生政策执行。此章程由学校负责解释。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长春理工大学光电信息学院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6.html" TargetMode="External" /><Relationship Id="rId11" Type="http://schemas.openxmlformats.org/officeDocument/2006/relationships/hyperlink" Target="http://www.gk114.com/a/gxzs/zszc/jilin/2022/0508/22375.html" TargetMode="External" /><Relationship Id="rId12" Type="http://schemas.openxmlformats.org/officeDocument/2006/relationships/hyperlink" Target="http://www.gk114.com/a/gxzs/zszc/jilin/2022/0508/22373.html" TargetMode="External" /><Relationship Id="rId13" Type="http://schemas.openxmlformats.org/officeDocument/2006/relationships/hyperlink" Target="http://www.gk114.com/a/gxzs/zszc/jilin/2022/0508/22371.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66.html" TargetMode="External" /><Relationship Id="rId5" Type="http://schemas.openxmlformats.org/officeDocument/2006/relationships/hyperlink" Target="http://www.gk114.com/a/gxzs/zszc/jilin/2019/0627/1026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0.html" TargetMode="External" /><Relationship Id="rId8" Type="http://schemas.openxmlformats.org/officeDocument/2006/relationships/hyperlink" Target="http://www.gk114.com/a/gxzs/zszc/jilin/2022/0508/22378.html" TargetMode="External" /><Relationship Id="rId9" Type="http://schemas.openxmlformats.org/officeDocument/2006/relationships/hyperlink" Target="http://www.gk114.com/a/gxzs/zszc/jilin/2022/0508/223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