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吉林科技职业技术学院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第一章</w:t>
      </w:r>
      <w:r>
        <w:rPr>
          <w:rFonts w:ascii="Calibri" w:eastAsia="Calibri" w:hAnsi="Calibri" w:cs="Calibri"/>
          <w:b/>
          <w:bCs/>
          <w:color w:val="666666"/>
          <w:sz w:val="32"/>
          <w:szCs w:val="32"/>
        </w:rPr>
        <w:t> </w:t>
      </w:r>
      <w:r>
        <w:rPr>
          <w:rFonts w:ascii="FangSong" w:eastAsia="FangSong" w:hAnsi="FangSong" w:cs="FangSong"/>
          <w:b/>
          <w:bCs/>
          <w:color w:val="666666"/>
          <w:sz w:val="32"/>
          <w:szCs w:val="32"/>
        </w:rPr>
        <w:t>总则</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b/>
          <w:bCs/>
          <w:color w:val="666666"/>
          <w:sz w:val="32"/>
          <w:szCs w:val="32"/>
        </w:rPr>
        <w:t>第一条</w:t>
      </w:r>
      <w:r>
        <w:rPr>
          <w:rFonts w:ascii="Calibri" w:eastAsia="Calibri" w:hAnsi="Calibri" w:cs="Calibri"/>
          <w:b/>
          <w:bCs/>
          <w:color w:val="666666"/>
          <w:sz w:val="32"/>
          <w:szCs w:val="32"/>
        </w:rPr>
        <w:t> </w:t>
      </w:r>
      <w:r>
        <w:rPr>
          <w:rFonts w:ascii="FangSong" w:eastAsia="FangSong" w:hAnsi="FangSong" w:cs="FangSong"/>
          <w:color w:val="666666"/>
          <w:sz w:val="32"/>
          <w:szCs w:val="32"/>
        </w:rPr>
        <w:t>为规范我校今年招生工作，依据《中华人民共和国教育法》、《中华人民共和国高等教育法》等法律法规以及教育部有关规定，特制定本章程。</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b/>
          <w:bCs/>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第三条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学校全称：吉林科技职业技术学院</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办学类型：普通高等职业学校</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学校性质：民办</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招生层次：专科</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学校地址：吉林省长春市二道区长吉南线街（路）７７７７号。</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第二章</w:t>
      </w:r>
      <w:r>
        <w:rPr>
          <w:rFonts w:ascii="Calibri" w:eastAsia="Calibri" w:hAnsi="Calibri" w:cs="Calibri"/>
          <w:b/>
          <w:bCs/>
          <w:color w:val="666666"/>
          <w:sz w:val="32"/>
          <w:szCs w:val="32"/>
        </w:rPr>
        <w:t> </w:t>
      </w:r>
      <w:r>
        <w:rPr>
          <w:rFonts w:ascii="FangSong" w:eastAsia="FangSong" w:hAnsi="FangSong" w:cs="FangSong"/>
          <w:b/>
          <w:bCs/>
          <w:color w:val="666666"/>
          <w:sz w:val="32"/>
          <w:szCs w:val="32"/>
        </w:rPr>
        <w:t xml:space="preserve"> 收费标准</w:t>
      </w:r>
    </w:p>
    <w:tbl>
      <w:tblPr>
        <w:tblW w:w="865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841"/>
        <w:gridCol w:w="3090"/>
        <w:gridCol w:w="1572"/>
        <w:gridCol w:w="2032"/>
      </w:tblGrid>
      <w:tr>
        <w:tblPrEx>
          <w:tblW w:w="865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720"/>
        </w:trPr>
        <w:tc>
          <w:tcPr>
            <w:tcW w:w="10065" w:type="dxa"/>
            <w:gridSpan w:val="4"/>
            <w:tcBorders>
              <w:bottom w:val="single" w:sz="6" w:space="0" w:color="CCCCCC"/>
            </w:tcBorders>
            <w:noWrap w:val="0"/>
            <w:tcMar>
              <w:top w:w="45" w:type="dxa"/>
              <w:left w:w="45" w:type="dxa"/>
              <w:bottom w:w="22"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540"/>
        </w:trPr>
        <w:tc>
          <w:tcPr>
            <w:tcW w:w="5810" w:type="dxa"/>
            <w:gridSpan w:val="2"/>
            <w:tcBorders>
              <w:top w:val="single" w:sz="6" w:space="0" w:color="CCCCCC"/>
              <w:bottom w:val="single" w:sz="6" w:space="0" w:color="CCCCCC"/>
            </w:tcBorders>
            <w:noWrap w:val="0"/>
            <w:tcMar>
              <w:top w:w="22" w:type="dxa"/>
              <w:left w:w="45" w:type="dxa"/>
              <w:bottom w:w="22" w:type="dxa"/>
              <w:right w:w="20"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4295" w:type="dxa"/>
            <w:gridSpan w:val="2"/>
            <w:tcBorders>
              <w:top w:val="single" w:sz="6" w:space="0" w:color="CCCCCC"/>
              <w:bottom w:val="single" w:sz="6" w:space="0" w:color="CCCCCC"/>
            </w:tcBorders>
            <w:noWrap w:val="0"/>
            <w:tcMar>
              <w:top w:w="22" w:type="dxa"/>
              <w:left w:w="20" w:type="dxa"/>
              <w:bottom w:w="22"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6"/>
                <w:szCs w:val="26"/>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专业代码</w:t>
            </w:r>
          </w:p>
        </w:tc>
        <w:tc>
          <w:tcPr>
            <w:tcW w:w="345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专业名称</w:t>
            </w:r>
          </w:p>
        </w:tc>
        <w:tc>
          <w:tcPr>
            <w:tcW w:w="198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收费标准</w:t>
            </w:r>
          </w:p>
        </w:tc>
        <w:tc>
          <w:tcPr>
            <w:tcW w:w="2375" w:type="dxa"/>
            <w:tcBorders>
              <w:top w:val="single" w:sz="24" w:space="0" w:color="000000"/>
              <w:bottom w:val="single" w:sz="24" w:space="0" w:color="000000"/>
              <w:right w:val="single" w:sz="24" w:space="0" w:color="000000"/>
            </w:tcBorders>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备注</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640101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旅游管理</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600405</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空中乘务</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670102K</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学前教育</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600112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高速铁路客运乘务</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600207</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交通运营管理</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600202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道路桥梁工程技术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600606</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城市轨道交通运营管理</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540502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工程造价</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540301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建筑工程技术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670411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电子竞技运动与管理</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630302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会计</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630801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电子商务</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610215</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大数据技术与应用</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525"/>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630702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汽车营销与服务</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560103</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数控技术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560301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机电一体化技术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560113</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模具设计与制造</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560110</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焊接技术与自动化</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560707</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新能源汽车技术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560702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汽车检测与维修技术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560701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汽车制造与装配技术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560610</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无人机应用技术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610201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计算机应用技术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620201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护理</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620501</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康复治疗技术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620404</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医学美容技术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650103</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广告设计与制作</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650102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视觉传播设计与制作</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bottom"/>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600602</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城市轨道交通机电技术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12000</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420"/>
        </w:trPr>
        <w:tc>
          <w:tcPr>
            <w:tcW w:w="244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5607</w:t>
            </w:r>
            <w:r>
              <w:rPr>
                <w:rFonts w:ascii="SimSun" w:eastAsia="SimSun" w:hAnsi="SimSun" w:cs="SimSun"/>
                <w:b w:val="0"/>
                <w:bCs w:val="0"/>
                <w:i w:val="0"/>
                <w:iCs w:val="0"/>
                <w:smallCaps w:val="0"/>
                <w:color w:val="666666"/>
                <w:sz w:val="26"/>
                <w:szCs w:val="26"/>
              </w:rPr>
              <w:t>02</w:t>
            </w:r>
            <w:r>
              <w:rPr>
                <w:rFonts w:ascii="SimSun" w:eastAsia="SimSun" w:hAnsi="SimSun" w:cs="SimSun"/>
                <w:b w:val="0"/>
                <w:bCs w:val="0"/>
                <w:i w:val="0"/>
                <w:iCs w:val="0"/>
                <w:smallCaps w:val="0"/>
                <w:color w:val="666666"/>
                <w:sz w:val="26"/>
                <w:szCs w:val="26"/>
              </w:rPr>
              <w:t>H</w:t>
            </w:r>
          </w:p>
        </w:tc>
        <w:tc>
          <w:tcPr>
            <w:tcW w:w="345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汽车检测与维修技术</w:t>
            </w:r>
          </w:p>
        </w:tc>
        <w:tc>
          <w:tcPr>
            <w:tcW w:w="198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待定</w:t>
            </w:r>
          </w:p>
        </w:tc>
        <w:tc>
          <w:tcPr>
            <w:tcW w:w="2375"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6"/>
                <w:szCs w:val="26"/>
              </w:rPr>
              <w:t>中外合作办学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w:t>
      </w:r>
      <w:r>
        <w:rPr>
          <w:rFonts w:ascii="FangSong" w:eastAsia="FangSong" w:hAnsi="FangSong" w:cs="FangSong"/>
          <w:b/>
          <w:bCs/>
          <w:color w:val="666666"/>
          <w:sz w:val="32"/>
          <w:szCs w:val="32"/>
        </w:rPr>
        <w:t>三</w:t>
      </w:r>
      <w:r>
        <w:rPr>
          <w:rFonts w:ascii="FangSong" w:eastAsia="FangSong" w:hAnsi="FangSong" w:cs="FangSong"/>
          <w:b/>
          <w:bCs/>
          <w:color w:val="666666"/>
          <w:sz w:val="32"/>
          <w:szCs w:val="32"/>
        </w:rPr>
        <w:t>章</w:t>
      </w:r>
      <w:r>
        <w:rPr>
          <w:rFonts w:ascii="Calibri" w:eastAsia="Calibri" w:hAnsi="Calibri" w:cs="Calibri"/>
          <w:b/>
          <w:bCs/>
          <w:color w:val="666666"/>
          <w:sz w:val="32"/>
          <w:szCs w:val="32"/>
        </w:rPr>
        <w:t> </w:t>
      </w:r>
      <w:r>
        <w:rPr>
          <w:rFonts w:ascii="FangSong" w:eastAsia="FangSong" w:hAnsi="FangSong" w:cs="FangSong"/>
          <w:b/>
          <w:bCs/>
          <w:color w:val="666666"/>
          <w:sz w:val="32"/>
          <w:szCs w:val="32"/>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第</w:t>
      </w:r>
      <w:r>
        <w:rPr>
          <w:rFonts w:ascii="FangSong" w:eastAsia="FangSong" w:hAnsi="FangSong" w:cs="FangSong"/>
          <w:b/>
          <w:bCs/>
          <w:color w:val="666666"/>
          <w:sz w:val="32"/>
          <w:szCs w:val="32"/>
        </w:rPr>
        <w:t>六</w:t>
      </w:r>
      <w:r>
        <w:rPr>
          <w:rFonts w:ascii="FangSong" w:eastAsia="FangSong" w:hAnsi="FangSong" w:cs="FangSong"/>
          <w:b/>
          <w:bCs/>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学生完成培养方案要求的教学内容，成绩合格，符合毕业条件，高职毕业生由吉林科技职业技术学院颁发</w:t>
      </w:r>
      <w:r>
        <w:rPr>
          <w:rFonts w:ascii="FangSong" w:eastAsia="FangSong" w:hAnsi="FangSong" w:cs="FangSong"/>
          <w:color w:val="666666"/>
          <w:sz w:val="32"/>
          <w:szCs w:val="32"/>
        </w:rPr>
        <w:t>国</w:t>
      </w:r>
      <w:r>
        <w:rPr>
          <w:rFonts w:ascii="FangSong" w:eastAsia="FangSong" w:hAnsi="FangSong" w:cs="FangSong"/>
          <w:color w:val="666666"/>
          <w:sz w:val="32"/>
          <w:szCs w:val="32"/>
        </w:rPr>
        <w:t>家规定的专科</w:t>
      </w:r>
      <w:r>
        <w:rPr>
          <w:rFonts w:ascii="FangSong" w:eastAsia="FangSong" w:hAnsi="FangSong" w:cs="FangSong"/>
          <w:color w:val="666666"/>
          <w:sz w:val="32"/>
          <w:szCs w:val="32"/>
        </w:rPr>
        <w:t>(高职)毕业证书。</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w:t>
      </w:r>
      <w:r>
        <w:rPr>
          <w:rFonts w:ascii="FangSong" w:eastAsia="FangSong" w:hAnsi="FangSong" w:cs="FangSong"/>
          <w:b/>
          <w:bCs/>
          <w:color w:val="666666"/>
          <w:sz w:val="32"/>
          <w:szCs w:val="32"/>
        </w:rPr>
        <w:t>四</w:t>
      </w:r>
      <w:r>
        <w:rPr>
          <w:rFonts w:ascii="FangSong" w:eastAsia="FangSong" w:hAnsi="FangSong" w:cs="FangSong"/>
          <w:b/>
          <w:bCs/>
          <w:color w:val="666666"/>
          <w:sz w:val="32"/>
          <w:szCs w:val="32"/>
        </w:rPr>
        <w:t>章</w:t>
      </w:r>
      <w:r>
        <w:rPr>
          <w:rFonts w:ascii="Calibri" w:eastAsia="Calibri" w:hAnsi="Calibri" w:cs="Calibri"/>
          <w:b/>
          <w:bCs/>
          <w:color w:val="666666"/>
          <w:sz w:val="32"/>
          <w:szCs w:val="32"/>
        </w:rPr>
        <w:t> </w:t>
      </w:r>
      <w:r>
        <w:rPr>
          <w:rFonts w:ascii="FangSong" w:eastAsia="FangSong" w:hAnsi="FangSong" w:cs="FangSong"/>
          <w:b/>
          <w:bCs/>
          <w:color w:val="666666"/>
          <w:sz w:val="32"/>
          <w:szCs w:val="32"/>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第</w:t>
      </w:r>
      <w:r>
        <w:rPr>
          <w:rFonts w:ascii="FangSong" w:eastAsia="FangSong" w:hAnsi="FangSong" w:cs="FangSong"/>
          <w:b/>
          <w:bCs/>
          <w:color w:val="666666"/>
          <w:sz w:val="32"/>
          <w:szCs w:val="32"/>
        </w:rPr>
        <w:t>七</w:t>
      </w:r>
      <w:r>
        <w:rPr>
          <w:rFonts w:ascii="FangSong" w:eastAsia="FangSong" w:hAnsi="FangSong" w:cs="FangSong"/>
          <w:b/>
          <w:bCs/>
          <w:color w:val="666666"/>
          <w:sz w:val="32"/>
          <w:szCs w:val="32"/>
        </w:rPr>
        <w:t>条</w:t>
      </w:r>
      <w:r>
        <w:rPr>
          <w:rFonts w:ascii="Calibri" w:eastAsia="Calibri" w:hAnsi="Calibri" w:cs="Calibri"/>
          <w:color w:val="666666"/>
          <w:sz w:val="32"/>
          <w:szCs w:val="32"/>
        </w:rPr>
        <w:t>  </w:t>
      </w:r>
      <w:r>
        <w:rPr>
          <w:rFonts w:ascii="FangSong" w:eastAsia="FangSong" w:hAnsi="FangSong" w:cs="FangSong"/>
          <w:b/>
          <w:bCs/>
          <w:color w:val="666666"/>
          <w:sz w:val="32"/>
          <w:szCs w:val="32"/>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color w:val="666666"/>
          <w:sz w:val="32"/>
          <w:szCs w:val="32"/>
        </w:rPr>
        <w:t>目前，国家在高等教育本专科阶段建立起国家奖学金、国家励志奖学金、国家助学金、国家助学贷款（包括校园地国家助学贷款和生源地信用助学贷款）、师范生免费教育、退役士兵教育资助、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入学前，可在家庭户籍所在地的教育部门申请办理生源地信用助学贷款。用于解决学费和住宿费。入学时，家庭经济特别困难的新生如暂时筹集不齐学费和住宿费，可在开学报到当天，通过学校开设的</w:t>
      </w:r>
      <w:r>
        <w:rPr>
          <w:rFonts w:ascii="FangSong" w:eastAsia="FangSong" w:hAnsi="FangSong" w:cs="FangSong"/>
          <w:color w:val="666666"/>
          <w:sz w:val="32"/>
          <w:szCs w:val="32"/>
        </w:rPr>
        <w:t>“绿色通道”报到。入校后再向学校申报家庭经济困难，由学校核实认定后采取不同措施给予资助。其中，学费、住宿费，以国家助学贷款为主、国家励志奖学金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同时，我校从学费收入中提取了</w:t>
      </w:r>
      <w:r>
        <w:rPr>
          <w:rFonts w:ascii="FangSong" w:eastAsia="FangSong" w:hAnsi="FangSong" w:cs="FangSong"/>
          <w:color w:val="666666"/>
          <w:sz w:val="32"/>
          <w:szCs w:val="32"/>
        </w:rPr>
        <w:t>5%的经费用于资助家庭经济困难学生，设立了校内助学金。</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第八条</w:t>
      </w:r>
      <w:r>
        <w:rPr>
          <w:rFonts w:ascii="Calibri" w:eastAsia="Calibri" w:hAnsi="Calibri" w:cs="Calibri"/>
          <w:b/>
          <w:bCs/>
          <w:color w:val="666666"/>
          <w:sz w:val="32"/>
          <w:szCs w:val="32"/>
        </w:rPr>
        <w:t>  </w:t>
      </w:r>
      <w:r>
        <w:rPr>
          <w:rFonts w:ascii="FangSong" w:eastAsia="FangSong" w:hAnsi="FangSong" w:cs="FangSong"/>
          <w:b/>
          <w:bCs/>
          <w:color w:val="666666"/>
          <w:sz w:val="32"/>
          <w:szCs w:val="32"/>
        </w:rPr>
        <w:t>高校家庭经济困难学生校内资助对象</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家庭经济困难学生是指学生本人及家庭所能筹集到的资金，难以支付其在校学习和生活基本费用的学生。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第九条</w:t>
      </w:r>
      <w:r>
        <w:rPr>
          <w:rFonts w:ascii="Calibri" w:eastAsia="Calibri" w:hAnsi="Calibri" w:cs="Calibri"/>
          <w:b/>
          <w:bCs/>
          <w:color w:val="666666"/>
          <w:sz w:val="32"/>
          <w:szCs w:val="32"/>
        </w:rPr>
        <w:t>  </w:t>
      </w:r>
      <w:r>
        <w:rPr>
          <w:rFonts w:ascii="FangSong" w:eastAsia="FangSong" w:hAnsi="FangSong" w:cs="FangSong"/>
          <w:b/>
          <w:bCs/>
          <w:color w:val="666666"/>
          <w:sz w:val="32"/>
          <w:szCs w:val="32"/>
        </w:rPr>
        <w:t>高校家庭经济困难学生资助相关程序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b/>
          <w:bCs/>
          <w:color w:val="666666"/>
          <w:sz w:val="32"/>
          <w:szCs w:val="32"/>
        </w:rPr>
        <w:t>第十条</w:t>
      </w:r>
      <w:r>
        <w:rPr>
          <w:rFonts w:ascii="Calibri" w:eastAsia="Calibri" w:hAnsi="Calibri" w:cs="Calibri"/>
          <w:b/>
          <w:bCs/>
          <w:color w:val="666666"/>
          <w:sz w:val="32"/>
          <w:szCs w:val="32"/>
        </w:rPr>
        <w:t> </w:t>
      </w:r>
      <w:r>
        <w:rPr>
          <w:rFonts w:ascii="FangSong" w:eastAsia="FangSong" w:hAnsi="FangSong" w:cs="FangSong"/>
          <w:b/>
          <w:bCs/>
          <w:color w:val="666666"/>
          <w:sz w:val="32"/>
          <w:szCs w:val="32"/>
        </w:rPr>
        <w:t>其他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有关高校家庭经济困难学生资助政策具体内容详见《高等学校学生资助政策简介》，此《简介》每年统一由全国学生资助管理中心印制，随录取通知书邮寄至每名新生手中。</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b/>
          <w:bCs/>
          <w:color w:val="666666"/>
          <w:sz w:val="32"/>
          <w:szCs w:val="32"/>
        </w:rPr>
        <w:t>第五章</w:t>
      </w:r>
      <w:r>
        <w:rPr>
          <w:rFonts w:ascii="Calibri" w:eastAsia="Calibri" w:hAnsi="Calibri" w:cs="Calibri"/>
          <w:b/>
          <w:bCs/>
          <w:color w:val="666666"/>
          <w:sz w:val="32"/>
          <w:szCs w:val="32"/>
        </w:rPr>
        <w:t> </w:t>
      </w:r>
      <w:r>
        <w:rPr>
          <w:rFonts w:ascii="FangSong" w:eastAsia="FangSong" w:hAnsi="FangSong" w:cs="FangSong"/>
          <w:b/>
          <w:bCs/>
          <w:color w:val="666666"/>
          <w:sz w:val="32"/>
          <w:szCs w:val="32"/>
        </w:rPr>
        <w:t>录取说明及补充条件</w:t>
      </w:r>
    </w:p>
    <w:p>
      <w:pPr>
        <w:pBdr>
          <w:top w:val="none" w:sz="0" w:space="0" w:color="auto"/>
          <w:left w:val="none" w:sz="0" w:space="0" w:color="auto"/>
          <w:bottom w:val="none" w:sz="0" w:space="0" w:color="auto"/>
          <w:right w:val="none" w:sz="0" w:space="0" w:color="auto"/>
        </w:pBdr>
        <w:spacing w:before="0" w:after="0" w:line="420" w:lineRule="atLeast"/>
        <w:ind w:left="0" w:right="0" w:firstLine="30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FangSong" w:eastAsia="FangSong" w:hAnsi="FangSong" w:cs="FangSong"/>
          <w:b/>
          <w:bCs/>
          <w:color w:val="666666"/>
          <w:sz w:val="32"/>
          <w:szCs w:val="32"/>
        </w:rPr>
        <w:t>第</w:t>
      </w:r>
      <w:r>
        <w:rPr>
          <w:rFonts w:ascii="FangSong" w:eastAsia="FangSong" w:hAnsi="FangSong" w:cs="FangSong"/>
          <w:b/>
          <w:bCs/>
          <w:color w:val="666666"/>
          <w:sz w:val="32"/>
          <w:szCs w:val="32"/>
        </w:rPr>
        <w:t>十一</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b/>
          <w:bCs/>
          <w:color w:val="666666"/>
          <w:sz w:val="32"/>
          <w:szCs w:val="32"/>
        </w:rPr>
        <w:t>专业培养对外语的要求</w:t>
      </w:r>
      <w:r>
        <w:rPr>
          <w:rFonts w:ascii="FangSong" w:eastAsia="FangSong" w:hAnsi="FangSong" w:cs="FangSong"/>
          <w:b/>
          <w:bCs/>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无特别要求</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b/>
          <w:bCs/>
          <w:color w:val="666666"/>
          <w:sz w:val="32"/>
          <w:szCs w:val="32"/>
        </w:rPr>
        <w:t>第</w:t>
      </w:r>
      <w:r>
        <w:rPr>
          <w:rFonts w:ascii="FangSong" w:eastAsia="FangSong" w:hAnsi="FangSong" w:cs="FangSong"/>
          <w:b/>
          <w:bCs/>
          <w:color w:val="666666"/>
          <w:sz w:val="32"/>
          <w:szCs w:val="32"/>
        </w:rPr>
        <w:t>十二</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b/>
          <w:bCs/>
          <w:color w:val="666666"/>
          <w:sz w:val="32"/>
          <w:szCs w:val="32"/>
        </w:rPr>
        <w:t>批准的招收男女生比例的要求</w:t>
      </w:r>
      <w:r>
        <w:rPr>
          <w:rFonts w:ascii="FangSong" w:eastAsia="FangSong" w:hAnsi="FangSong" w:cs="FangSong"/>
          <w:b/>
          <w:bCs/>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无特别要求</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b/>
          <w:bCs/>
          <w:color w:val="666666"/>
          <w:sz w:val="32"/>
          <w:szCs w:val="32"/>
        </w:rPr>
        <w:t>第十</w:t>
      </w:r>
      <w:r>
        <w:rPr>
          <w:rFonts w:ascii="FangSong" w:eastAsia="FangSong" w:hAnsi="FangSong" w:cs="FangSong"/>
          <w:b/>
          <w:bCs/>
          <w:color w:val="666666"/>
          <w:sz w:val="32"/>
          <w:szCs w:val="32"/>
        </w:rPr>
        <w:t>三</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b/>
          <w:bCs/>
          <w:color w:val="666666"/>
          <w:sz w:val="32"/>
          <w:szCs w:val="32"/>
        </w:rPr>
        <w:t>经批准的身体及健康状况要求</w:t>
      </w:r>
      <w:r>
        <w:rPr>
          <w:rFonts w:ascii="FangSong" w:eastAsia="FangSong" w:hAnsi="FangSong" w:cs="FangSong"/>
          <w:b/>
          <w:bCs/>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报考我院考生健康状况按教育部、卫生部、中国残疾人联合会颁布的《普通高等学校招生体检工作指导意见》及相关补充规定执行</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b/>
          <w:bCs/>
          <w:color w:val="666666"/>
          <w:sz w:val="32"/>
          <w:szCs w:val="32"/>
        </w:rPr>
        <w:t>第十</w:t>
      </w:r>
      <w:r>
        <w:rPr>
          <w:rFonts w:ascii="FangSong" w:eastAsia="FangSong" w:hAnsi="FangSong" w:cs="FangSong"/>
          <w:b/>
          <w:bCs/>
          <w:color w:val="666666"/>
          <w:sz w:val="32"/>
          <w:szCs w:val="32"/>
        </w:rPr>
        <w:t>四</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b/>
          <w:bCs/>
          <w:color w:val="666666"/>
          <w:sz w:val="32"/>
          <w:szCs w:val="32"/>
        </w:rPr>
        <w:t>录取规则</w:t>
      </w:r>
      <w:r>
        <w:rPr>
          <w:rFonts w:ascii="FangSong" w:eastAsia="FangSong" w:hAnsi="FangSong" w:cs="FangSong"/>
          <w:b/>
          <w:bCs/>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1、录取全部实行计算机远程网上录取，不委托任何单位和个人做招生“中介”。</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2、调档比例：在高考成绩达到同批次录取最低控制分数线的考生中，严格按照各省（区、市）规定的比例调阅考生档案。</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3、我校执行考生所在省（区、市）关于院校志愿投档顺序的有关规定，在院校第一志愿（含平行志愿）不满的条件下，则录取非第一院校志愿考生，非第一院校志愿的考生只能录取到本校前一志愿录取后未满额的专业。</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4、对进档考生的专业安排实行“专业清”办法，即根据考生专业志愿，按照</w:t>
      </w:r>
      <w:r>
        <w:rPr>
          <w:rFonts w:ascii="FangSong" w:eastAsia="FangSong" w:hAnsi="FangSong" w:cs="FangSong"/>
          <w:color w:val="666666"/>
          <w:sz w:val="32"/>
          <w:szCs w:val="32"/>
        </w:rPr>
        <w:t>投档</w:t>
      </w:r>
      <w:r>
        <w:rPr>
          <w:rFonts w:ascii="FangSong" w:eastAsia="FangSong" w:hAnsi="FangSong" w:cs="FangSong"/>
          <w:color w:val="666666"/>
          <w:sz w:val="32"/>
          <w:szCs w:val="32"/>
        </w:rPr>
        <w:t>成绩从高分到低分择优录取。</w:t>
      </w:r>
      <w:r>
        <w:rPr>
          <w:rFonts w:ascii="FangSong" w:eastAsia="FangSong" w:hAnsi="FangSong" w:cs="FangSong"/>
          <w:color w:val="666666"/>
          <w:sz w:val="32"/>
          <w:szCs w:val="32"/>
        </w:rPr>
        <w:t>⑴第一专业志愿不能满足的考生，按其第二专业志愿从高分到低分录取，仍不能满足的按其第三专业志愿录取，以此类推，当考生所有专业志愿均不能满足且服从专业调剂，按从高分到低分，调剂到录取未满并符合专业培养要求的专业；⑵考生所有专业志愿均不能满足且不服从调剂、或服从调剂但分数未达到调剂标准、或服从调剂但不符合未录满专业培养要求的考生，均做退档处理；⑶同等条件下，按考生所报专业参考外语成绩（外语成绩相同</w:t>
      </w:r>
      <w:r>
        <w:rPr>
          <w:rFonts w:ascii="FangSong" w:eastAsia="FangSong" w:hAnsi="FangSong" w:cs="FangSong"/>
          <w:color w:val="666666"/>
          <w:sz w:val="32"/>
          <w:szCs w:val="32"/>
        </w:rPr>
        <w:t>依次</w:t>
      </w:r>
      <w:r>
        <w:rPr>
          <w:rFonts w:ascii="FangSong" w:eastAsia="FangSong" w:hAnsi="FangSong" w:cs="FangSong"/>
          <w:color w:val="666666"/>
          <w:sz w:val="32"/>
          <w:szCs w:val="32"/>
        </w:rPr>
        <w:t>参考综合</w:t>
      </w:r>
      <w:r>
        <w:rPr>
          <w:rFonts w:ascii="FangSong" w:eastAsia="FangSong" w:hAnsi="FangSong" w:cs="FangSong"/>
          <w:color w:val="666666"/>
          <w:sz w:val="32"/>
          <w:szCs w:val="32"/>
        </w:rPr>
        <w:t>科目、语文科目、数学科目</w:t>
      </w:r>
      <w:r>
        <w:rPr>
          <w:rFonts w:ascii="FangSong" w:eastAsia="FangSong" w:hAnsi="FangSong" w:cs="FangSong"/>
          <w:color w:val="666666"/>
          <w:sz w:val="32"/>
          <w:szCs w:val="32"/>
        </w:rPr>
        <w:t>成绩），成绩高者优先录取。</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5、享受增加分数和降分投档照顾政策的考生，按考生所在的省（区、市）的有关规定，在录取时以享受照顾的成绩排序录取。</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6、我校对往届生和应届生的录取看待无差别。</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b/>
          <w:bCs/>
          <w:color w:val="666666"/>
          <w:sz w:val="32"/>
          <w:szCs w:val="32"/>
        </w:rPr>
        <w:t>第十</w:t>
      </w:r>
      <w:r>
        <w:rPr>
          <w:rFonts w:ascii="FangSong" w:eastAsia="FangSong" w:hAnsi="FangSong" w:cs="FangSong"/>
          <w:b/>
          <w:bCs/>
          <w:color w:val="666666"/>
          <w:sz w:val="32"/>
          <w:szCs w:val="32"/>
        </w:rPr>
        <w:t>五</w:t>
      </w:r>
      <w:r>
        <w:rPr>
          <w:rFonts w:ascii="FangSong" w:eastAsia="FangSong" w:hAnsi="FangSong" w:cs="FangSong"/>
          <w:b/>
          <w:bCs/>
          <w:color w:val="666666"/>
          <w:sz w:val="32"/>
          <w:szCs w:val="32"/>
        </w:rPr>
        <w:t>条</w:t>
      </w:r>
      <w:r>
        <w:rPr>
          <w:rFonts w:ascii="Calibri" w:eastAsia="Calibri" w:hAnsi="Calibri" w:cs="Calibri"/>
          <w:b/>
          <w:bCs/>
          <w:color w:val="666666"/>
          <w:sz w:val="32"/>
          <w:szCs w:val="32"/>
        </w:rPr>
        <w:t>  </w:t>
      </w:r>
      <w:r>
        <w:rPr>
          <w:rFonts w:ascii="FangSong" w:eastAsia="FangSong" w:hAnsi="FangSong" w:cs="FangSong"/>
          <w:b/>
          <w:bCs/>
          <w:color w:val="666666"/>
          <w:sz w:val="32"/>
          <w:szCs w:val="32"/>
        </w:rPr>
        <w:t>联系方式</w:t>
      </w:r>
      <w:r>
        <w:rPr>
          <w:rFonts w:ascii="FangSong" w:eastAsia="FangSong" w:hAnsi="FangSong" w:cs="FangSong"/>
          <w:b/>
          <w:bCs/>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学校网址：www.JILINKJ.com</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通讯地址：吉林省长春市二道区长吉南线7777号</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联系电话：0431-8</w:t>
      </w:r>
      <w:r>
        <w:rPr>
          <w:rFonts w:ascii="FangSong" w:eastAsia="FangSong" w:hAnsi="FangSong" w:cs="FangSong"/>
          <w:color w:val="666666"/>
          <w:sz w:val="32"/>
          <w:szCs w:val="32"/>
        </w:rPr>
        <w:t>5071877</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color w:val="666666"/>
          <w:sz w:val="32"/>
          <w:szCs w:val="32"/>
        </w:rPr>
        <w:t>联系人：</w:t>
      </w:r>
      <w:r>
        <w:rPr>
          <w:rFonts w:ascii="FangSong" w:eastAsia="FangSong" w:hAnsi="FangSong" w:cs="FangSong"/>
          <w:color w:val="666666"/>
          <w:sz w:val="32"/>
          <w:szCs w:val="32"/>
        </w:rPr>
        <w:t>于思引</w:t>
      </w:r>
      <w:r>
        <w:rPr>
          <w:rFonts w:ascii="FangSong" w:eastAsia="FangSong" w:hAnsi="FangSong" w:cs="FangSong"/>
          <w:color w:val="666666"/>
          <w:sz w:val="32"/>
          <w:szCs w:val="32"/>
        </w:rPr>
        <w:br/>
      </w:r>
      <w:r>
        <w:rPr>
          <w:rFonts w:ascii="Calibri" w:eastAsia="Calibri" w:hAnsi="Calibri" w:cs="Calibri"/>
          <w:color w:val="666666"/>
          <w:sz w:val="32"/>
          <w:szCs w:val="32"/>
        </w:rPr>
        <w:t>    </w:t>
      </w:r>
      <w:r>
        <w:rPr>
          <w:rFonts w:ascii="FangSong" w:eastAsia="FangSong" w:hAnsi="FangSong" w:cs="FangSong"/>
          <w:b/>
          <w:bCs/>
          <w:color w:val="666666"/>
          <w:sz w:val="32"/>
          <w:szCs w:val="32"/>
        </w:rPr>
        <w:t>第十</w:t>
      </w:r>
      <w:r>
        <w:rPr>
          <w:rFonts w:ascii="FangSong" w:eastAsia="FangSong" w:hAnsi="FangSong" w:cs="FangSong"/>
          <w:b/>
          <w:bCs/>
          <w:color w:val="666666"/>
          <w:sz w:val="32"/>
          <w:szCs w:val="32"/>
        </w:rPr>
        <w:t>六</w:t>
      </w:r>
      <w:r>
        <w:rPr>
          <w:rFonts w:ascii="FangSong" w:eastAsia="FangSong" w:hAnsi="FangSong" w:cs="FangSong"/>
          <w:b/>
          <w:bCs/>
          <w:color w:val="666666"/>
          <w:sz w:val="32"/>
          <w:szCs w:val="32"/>
        </w:rPr>
        <w:t>条</w:t>
      </w:r>
      <w:r>
        <w:rPr>
          <w:rFonts w:ascii="Calibri" w:eastAsia="Calibri" w:hAnsi="Calibri" w:cs="Calibri"/>
          <w:color w:val="666666"/>
          <w:sz w:val="32"/>
          <w:szCs w:val="32"/>
        </w:rPr>
        <w:t>  </w:t>
      </w:r>
      <w:r>
        <w:rPr>
          <w:rFonts w:ascii="FangSong" w:eastAsia="FangSong" w:hAnsi="FangSong" w:cs="FangSong"/>
          <w:color w:val="666666"/>
          <w:sz w:val="32"/>
          <w:szCs w:val="32"/>
        </w:rPr>
        <w:t>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吉林城市职业技术学院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白城职业技术学院招生章程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6.html" TargetMode="External" /><Relationship Id="rId11" Type="http://schemas.openxmlformats.org/officeDocument/2006/relationships/hyperlink" Target="http://www.gk114.com/a/gxzs/zszc/jilin/2022/0508/22375.html" TargetMode="External" /><Relationship Id="rId12" Type="http://schemas.openxmlformats.org/officeDocument/2006/relationships/hyperlink" Target="http://www.gk114.com/a/gxzs/zszc/jilin/2022/0508/22373.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1.html" TargetMode="External" /><Relationship Id="rId15" Type="http://schemas.openxmlformats.org/officeDocument/2006/relationships/hyperlink" Target="http://www.gk114.com/a/gxzs/zszc/jilin/2022/0508/22369.html" TargetMode="External" /><Relationship Id="rId16" Type="http://schemas.openxmlformats.org/officeDocument/2006/relationships/hyperlink" Target="http://www.gk114.com/a/gxzs/zszc/jilin/2022/0508/22368.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59.html" TargetMode="External" /><Relationship Id="rId5" Type="http://schemas.openxmlformats.org/officeDocument/2006/relationships/hyperlink" Target="http://www.gk114.com/a/gxzs/zszc/jilin/2019/0627/1026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0.html" TargetMode="External" /><Relationship Id="rId8" Type="http://schemas.openxmlformats.org/officeDocument/2006/relationships/hyperlink" Target="http://www.gk114.com/a/gxzs/zszc/jilin/2022/0508/22378.html" TargetMode="External" /><Relationship Id="rId9" Type="http://schemas.openxmlformats.org/officeDocument/2006/relationships/hyperlink" Target="http://www.gk114.com/a/gxzs/zszc/jilin/2022/0508/223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