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吉林财经大学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w:t>
      </w:r>
      <w:r>
        <w:rPr>
          <w:rFonts w:ascii="SimSun" w:eastAsia="SimSun" w:hAnsi="SimSun" w:cs="SimSun"/>
        </w:rPr>
        <w:t>学校全称：吉林财经大学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学校校区地址：吉林省长春市净月国家高新技术产业开发区净月大街３６９９号。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统计学专业学费标准为每生每学年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数学与应用数学专业学费标准为每生每学年</w:t>
      </w:r>
      <w:r>
        <w:rPr>
          <w:rFonts w:ascii="Times New Roman" w:eastAsia="Times New Roman" w:hAnsi="Times New Roman" w:cs="Times New Roman"/>
        </w:rPr>
        <w:t>3850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审计学专业学费标准为每生每学年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劳动与社会保障专业学费标准为每生每学年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4180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会计学（合作办学）专业学费标准为每生每年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财政学专业学费标准为每生每学年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国际商务专业学费标准为每生每学年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经济统计学专业学费标准为每生每学年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税收学专业学费标准为每生每学年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金融工程专业学费标准为每生每学年</w:t>
      </w:r>
      <w:r>
        <w:rPr>
          <w:rFonts w:ascii="Times New Roman" w:eastAsia="Times New Roman" w:hAnsi="Times New Roman" w:cs="Times New Roman"/>
        </w:rPr>
        <w:t>4620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金融学（合作办学）专业学费标准为每生每年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信息管理与信息系统专业学费标准为每生每学年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电子商务（合作办学）专业学费标准为每生每学年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数据科学与大数据技术专业学费标准为每生每学年</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5060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广告学专业学费标准为每生每学年</w:t>
      </w:r>
      <w:r>
        <w:rPr>
          <w:rFonts w:ascii="Times New Roman" w:eastAsia="Times New Roman" w:hAnsi="Times New Roman" w:cs="Times New Roman"/>
        </w:rPr>
        <w:t>6820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学生在学校规定学习年限内完成培养方案要求的教学内容，成绩合格，符合毕业条件，本科毕业生由吉林财经大学颁发国家规定的本科毕业证书。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为落实国家资助政策，激励家庭经济困难学生勤奋学习，努力进取，顺利完成学业，促使学生全面发展，学校设立了学生资助管理中心，全面负责我校家庭经济困难学生的资助工作。目前，我校已经全面建立了以</w:t>
      </w:r>
      <w:r>
        <w:rPr>
          <w:rFonts w:ascii="Times New Roman" w:eastAsia="Times New Roman" w:hAnsi="Times New Roman" w:cs="Times New Roman"/>
        </w:rPr>
        <w:t>“</w:t>
      </w:r>
      <w:r>
        <w:rPr>
          <w:rFonts w:ascii="SimSun" w:eastAsia="SimSun" w:hAnsi="SimSun" w:cs="SimSun"/>
        </w:rPr>
        <w:t>奖、助、贷、补、减、爱</w:t>
      </w:r>
      <w:r>
        <w:rPr>
          <w:rFonts w:ascii="Times New Roman" w:eastAsia="Times New Roman" w:hAnsi="Times New Roman" w:cs="Times New Roman"/>
        </w:rPr>
        <w:t>”</w:t>
      </w:r>
      <w:r>
        <w:rPr>
          <w:rFonts w:ascii="SimSun" w:eastAsia="SimSun" w:hAnsi="SimSun" w:cs="SimSun"/>
        </w:rPr>
        <w:t>为主要手段的资助体系，资助与育人紧密结合，为学生的成人、成才、成功积极创造条件。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奖，即奖学金。家庭经济困难学生可以通过勤奋学习，获得各级各类奖、助学金，从而缓解家庭经济压力，帮助自己顺利完成学业。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助，即勤工助学。学校设置一定数量的勤工助学岗位，家庭经济困难学生可以利用课余时间参加勤工助学活动。学校鼓励家庭经济困难学生通过付出劳动而获得资助，以此来补贴其学习生活费用。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贷，即国家助学贷款。国家助学贷款是由政府主导，金融机构向高校家庭经济困难学生提供的信用助学贷款，帮助解决家庭经济困难学生在校期间的学费和住宿费。国家助学贷款利率执行中国人民银行同期公布的同档次基准利率，不上浮。贷款学生在校期间的国家助学贷款利息全部由财政支付，毕业后的利息由借款人全额支付。国家助学贷款是信用贷款，借款学生不需要办理贷款担保或抵押，但需要承诺按期还款，并承担相关法律责任。按照学生申办地点及工作流程不同，助学贷款分为校园地国家助学贷款与生源地助学贷款两种模式。学生同一年内只能选择一种贷款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补，即困难补助。学校根据实际情况，不定期地为家庭经济困难学生发放困难补助。这些补助包括：返乡路费补助、换季衣物备品补助、重大变故补助、孤残学生烈士子女补助等。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减，即学费减免。学校依据家庭经济困难学生的实际情况，可以适当的进行学费减免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爱，即爱心基金。学校从社会和校内积极筹集善款，建立了校、院两级爱心基金，从而可以对因病或突发事件而造成家庭经济困难的学生进行爱心资助。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另外，新生入学报到时，学校设立</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，为家庭经济困难学生办理学费和住宿费的缓交手续，确保每名家庭经济困难学生能够顺利入学。开学后，学校将根据工作实际，有计划、有步骤地采取</w:t>
      </w:r>
      <w:r>
        <w:rPr>
          <w:rFonts w:ascii="Times New Roman" w:eastAsia="Times New Roman" w:hAnsi="Times New Roman" w:cs="Times New Roman"/>
        </w:rPr>
        <w:t>“</w:t>
      </w:r>
      <w:r>
        <w:rPr>
          <w:rFonts w:ascii="SimSun" w:eastAsia="SimSun" w:hAnsi="SimSun" w:cs="SimSun"/>
        </w:rPr>
        <w:t>奖、助、贷、补、减、爱</w:t>
      </w:r>
      <w:r>
        <w:rPr>
          <w:rFonts w:ascii="Times New Roman" w:eastAsia="Times New Roman" w:hAnsi="Times New Roman" w:cs="Times New Roman"/>
        </w:rPr>
        <w:t>”</w:t>
      </w:r>
      <w:r>
        <w:rPr>
          <w:rFonts w:ascii="SimSun" w:eastAsia="SimSun" w:hAnsi="SimSun" w:cs="SimSun"/>
        </w:rPr>
        <w:t>等资助措施，确保每名家庭经济困难学生都能在学校帮助下克服经济困难、建立阳光心态，快乐、充实、幸福地度过大学四年的学习生活。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英语、日语、朝鲜语等专业招收英语语种考生；国际经济与贸易、国际商务、信息管理与信息系统、经济统计学、统计学、会计学、审计学、资产评估、电子商务、计算机科学与技术、工商管理、市场营销、金融工程、中外合作办学类等专业的主干课及公共外语用英语授课，宜英语语种考生报考，其他语种考生慎重报考；其他专业招收英语、日语、俄语等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我校招生工作全面贯彻实施高校招生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在高考成绩达到同批次录取控制分数线的考生中，确定调阅考生档案的比例，一般控制在当地招生计划数的</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对于实行顺序志愿录取方式的省（区、市），首先录取第一院校志愿的考生，当第一院校志愿生源不足时，按未录满的招生计划补缺录取第二院校志愿考生，以此类推。对于实行平行志愿录取方式的省（区、市），按照该省（区、市）政策调阅考生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对享受政策性加分或者降分投档的考生，可按所在省（区、市）招生考试机构的规定投档，但在专业录取时只按实考分数进行排序。实考分数相同的情况下，优先录取有政策照顾加分的考生。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江苏省对进档考生的专业安排，根据考生的投档分数，按照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的原则排序并结合专业志愿确定录取专业。在录取过程中，考生如总分相同，文科类考生按语文成绩从高到低进行排序，理科类考生按照数学成绩从高到低进行排序；如仍相同，则科目等级优先顺序为：</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AA</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AB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BA</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BB</w:t>
      </w:r>
      <w:r>
        <w:rPr>
          <w:rFonts w:ascii="SimSun" w:eastAsia="SimSun" w:hAnsi="SimSun" w:cs="SimSun"/>
        </w:rPr>
        <w:t>，选测科目等级最低标准为</w:t>
      </w:r>
      <w:r>
        <w:rPr>
          <w:rFonts w:ascii="Times New Roman" w:eastAsia="Times New Roman" w:hAnsi="Times New Roman" w:cs="Times New Roman"/>
        </w:rPr>
        <w:t>BB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在内蒙古自治区对进档考生的专业安排，实行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的录取规则，即投档考生按计划数</w:t>
      </w:r>
      <w:r>
        <w:rPr>
          <w:rFonts w:ascii="Times New Roman" w:eastAsia="Times New Roman" w:hAnsi="Times New Roman" w:cs="Times New Roman"/>
        </w:rPr>
        <w:t>1:1</w:t>
      </w:r>
      <w:r>
        <w:rPr>
          <w:rFonts w:ascii="SimSun" w:eastAsia="SimSun" w:hAnsi="SimSun" w:cs="SimSun"/>
        </w:rPr>
        <w:t>的数额内，按专业志愿顺序依高考总分排序录取，若有退档可顺延录取。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高考改革的省（区、市），按当地考试招生机构录取规定执行。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其他省（区、市）对进档考生的专业安排，实行专业级差方式录取，其中一、二专业志愿级差为</w:t>
      </w:r>
      <w:r>
        <w:rPr>
          <w:rFonts w:ascii="Times New Roman" w:eastAsia="Times New Roman" w:hAnsi="Times New Roman" w:cs="Times New Roman"/>
        </w:rPr>
        <w:t>2</w:t>
      </w:r>
      <w:r>
        <w:rPr>
          <w:rFonts w:ascii="SimSun" w:eastAsia="SimSun" w:hAnsi="SimSun" w:cs="SimSun"/>
        </w:rPr>
        <w:t>分，二、三专业志愿级差为</w:t>
      </w:r>
      <w:r>
        <w:rPr>
          <w:rFonts w:ascii="Times New Roman" w:eastAsia="Times New Roman" w:hAnsi="Times New Roman" w:cs="Times New Roman"/>
        </w:rPr>
        <w:t>2</w:t>
      </w:r>
      <w:r>
        <w:rPr>
          <w:rFonts w:ascii="SimSun" w:eastAsia="SimSun" w:hAnsi="SimSun" w:cs="SimSun"/>
        </w:rPr>
        <w:t>分，其余专业志愿间无级差。在同等条件下，优先录取相关科目分数高的考生。所有专业志愿都无法满足的，如果服从专业调剂，将由学校根据分数及相关科目成绩调剂到相应未录满专业。高考成绩无法满足所填报的专业志愿，又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我校中外合作办学类专业只录取有专业志愿的考生。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http://www.jlufe.edu.cn </w:t>
      </w:r>
    </w:p>
    <w:p>
      <w:pPr>
        <w:rPr>
          <w:rFonts w:ascii="Times New Roman" w:eastAsia="Times New Roman" w:hAnsi="Times New Roman" w:cs="Times New Roman"/>
        </w:rPr>
      </w:pPr>
      <w:r>
        <w:rPr>
          <w:rFonts w:ascii="SimSun" w:eastAsia="SimSun" w:hAnsi="SimSun" w:cs="SimSun"/>
        </w:rPr>
        <w:t>通讯地址：吉林省长春市净月大街</w:t>
      </w:r>
      <w:r>
        <w:rPr>
          <w:rFonts w:ascii="Times New Roman" w:eastAsia="Times New Roman" w:hAnsi="Times New Roman" w:cs="Times New Roman"/>
        </w:rPr>
        <w:t>3699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0431-84539100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联系人：招生就业处招生科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7.html" TargetMode="External" /><Relationship Id="rId11" Type="http://schemas.openxmlformats.org/officeDocument/2006/relationships/hyperlink" Target="http://www.gk114.com/a/gxzs/zszc/jilin/2022/0508/22376.html" TargetMode="External" /><Relationship Id="rId12" Type="http://schemas.openxmlformats.org/officeDocument/2006/relationships/hyperlink" Target="http://www.gk114.com/a/gxzs/zszc/jilin/2022/0508/22375.html" TargetMode="External" /><Relationship Id="rId13" Type="http://schemas.openxmlformats.org/officeDocument/2006/relationships/hyperlink" Target="http://www.gk114.com/a/gxzs/zszc/jilin/2022/0508/22374.html" TargetMode="External" /><Relationship Id="rId14" Type="http://schemas.openxmlformats.org/officeDocument/2006/relationships/hyperlink" Target="http://www.gk114.com/a/gxzs/zszc/jilin/2022/0508/22373.html" TargetMode="External" /><Relationship Id="rId15" Type="http://schemas.openxmlformats.org/officeDocument/2006/relationships/hyperlink" Target="http://www.gk114.com/a/gxzs/zszc/jilin/2022/0508/22371.html" TargetMode="External" /><Relationship Id="rId16" Type="http://schemas.openxmlformats.org/officeDocument/2006/relationships/hyperlink" Target="http://www.gk114.com/a/gxzs/zszc/jilin/2022/0508/22369.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08.html" TargetMode="External" /><Relationship Id="rId5" Type="http://schemas.openxmlformats.org/officeDocument/2006/relationships/hyperlink" Target="http://www.gk114.com/a/gxzs/zszc/jilin/2019/0221/6510.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7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