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同济大学浙江学院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2019-06-30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375"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学校全称：同济大学浙江学院</w:t>
      </w:r>
    </w:p>
    <w:p>
      <w:pPr>
        <w:pBdr>
          <w:top w:val="none" w:sz="0" w:space="0" w:color="auto"/>
          <w:left w:val="none" w:sz="0" w:space="0" w:color="auto"/>
          <w:bottom w:val="none" w:sz="0" w:space="0" w:color="auto"/>
          <w:right w:val="none" w:sz="0" w:space="0" w:color="auto"/>
        </w:pBdr>
        <w:spacing w:before="0" w:after="0" w:line="375"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学校代码：</w:t>
      </w:r>
      <w:r>
        <w:rPr>
          <w:rFonts w:ascii="Microsoft YaHei" w:eastAsia="Microsoft YaHei" w:hAnsi="Microsoft YaHei" w:cs="Microsoft YaHei"/>
          <w:color w:val="666666"/>
        </w:rPr>
        <w:t>14206</w:t>
      </w:r>
    </w:p>
    <w:p>
      <w:pPr>
        <w:pBdr>
          <w:top w:val="none" w:sz="0" w:space="0" w:color="auto"/>
          <w:left w:val="none" w:sz="0" w:space="0" w:color="auto"/>
          <w:bottom w:val="none" w:sz="0" w:space="0" w:color="auto"/>
          <w:right w:val="none" w:sz="0" w:space="0" w:color="auto"/>
        </w:pBdr>
        <w:spacing w:before="0" w:after="0" w:line="375"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浙江省招生代码：</w:t>
      </w:r>
      <w:r>
        <w:rPr>
          <w:rFonts w:ascii="Microsoft YaHei" w:eastAsia="Microsoft YaHei" w:hAnsi="Microsoft YaHei" w:cs="Microsoft YaHei"/>
          <w:color w:val="666666"/>
        </w:rPr>
        <w:t>0185</w:t>
      </w:r>
    </w:p>
    <w:p>
      <w:pPr>
        <w:pBdr>
          <w:top w:val="none" w:sz="0" w:space="0" w:color="auto"/>
          <w:left w:val="none" w:sz="0" w:space="0" w:color="auto"/>
          <w:bottom w:val="none" w:sz="0" w:space="0" w:color="auto"/>
          <w:right w:val="none" w:sz="0" w:space="0" w:color="auto"/>
        </w:pBdr>
        <w:spacing w:before="0" w:after="0" w:line="375"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校址：浙江省嘉兴市商务大道</w:t>
      </w:r>
      <w:r>
        <w:rPr>
          <w:rFonts w:ascii="Microsoft YaHei" w:eastAsia="Microsoft YaHei" w:hAnsi="Microsoft YaHei" w:cs="Microsoft YaHei"/>
          <w:color w:val="666666"/>
        </w:rPr>
        <w:t>168</w:t>
      </w:r>
      <w:r>
        <w:rPr>
          <w:rFonts w:ascii="SimSun" w:eastAsia="SimSun" w:hAnsi="SimSun" w:cs="SimSun"/>
          <w:color w:val="666666"/>
        </w:rPr>
        <w:t>号</w:t>
      </w:r>
    </w:p>
    <w:p>
      <w:pPr>
        <w:pBdr>
          <w:top w:val="none" w:sz="0" w:space="0" w:color="auto"/>
          <w:left w:val="none" w:sz="0" w:space="0" w:color="auto"/>
          <w:bottom w:val="none" w:sz="0" w:space="0" w:color="auto"/>
          <w:right w:val="none" w:sz="0" w:space="0" w:color="auto"/>
        </w:pBdr>
        <w:spacing w:before="0" w:after="0" w:line="375"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邮编：</w:t>
      </w:r>
      <w:r>
        <w:rPr>
          <w:rFonts w:ascii="Microsoft YaHei" w:eastAsia="Microsoft YaHei" w:hAnsi="Microsoft YaHei" w:cs="Microsoft YaHei"/>
          <w:color w:val="666666"/>
        </w:rPr>
        <w:t>314051</w:t>
      </w:r>
    </w:p>
    <w:p>
      <w:pPr>
        <w:pBdr>
          <w:top w:val="none" w:sz="0" w:space="0" w:color="auto"/>
          <w:left w:val="none" w:sz="0" w:space="0" w:color="auto"/>
          <w:bottom w:val="none" w:sz="0" w:space="0" w:color="auto"/>
          <w:right w:val="none" w:sz="0" w:space="0" w:color="auto"/>
        </w:pBdr>
        <w:spacing w:before="0" w:after="0" w:line="375"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办学层次：本科</w:t>
      </w:r>
    </w:p>
    <w:p>
      <w:pPr>
        <w:pBdr>
          <w:top w:val="none" w:sz="0" w:space="0" w:color="auto"/>
          <w:left w:val="none" w:sz="0" w:space="0" w:color="auto"/>
          <w:bottom w:val="none" w:sz="0" w:space="0" w:color="auto"/>
          <w:right w:val="none" w:sz="0" w:space="0" w:color="auto"/>
        </w:pBdr>
        <w:spacing w:before="0" w:after="0" w:line="375"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办学类型：独立学院</w:t>
      </w:r>
    </w:p>
    <w:p>
      <w:pPr>
        <w:pBdr>
          <w:top w:val="none" w:sz="0" w:space="0" w:color="auto"/>
          <w:left w:val="none" w:sz="0" w:space="0" w:color="auto"/>
          <w:bottom w:val="none" w:sz="0" w:space="0" w:color="auto"/>
          <w:right w:val="none" w:sz="0" w:space="0" w:color="auto"/>
        </w:pBdr>
        <w:spacing w:before="0" w:after="0" w:line="375" w:lineRule="atLeast"/>
        <w:ind w:left="0" w:right="0"/>
        <w:rPr>
          <w:rFonts w:ascii="Microsoft YaHei" w:eastAsia="Microsoft YaHei" w:hAnsi="Microsoft YaHei" w:cs="Microsoft YaHei"/>
          <w:color w:val="666666"/>
          <w:sz w:val="21"/>
          <w:szCs w:val="21"/>
        </w:rPr>
      </w:pPr>
      <w:r>
        <w:rPr>
          <w:rFonts w:ascii="SimHei" w:eastAsia="SimHei" w:hAnsi="SimHei" w:cs="SimHei"/>
          <w:color w:val="666666"/>
        </w:rPr>
        <w:t>一、</w:t>
      </w:r>
      <w:r>
        <w:rPr>
          <w:rFonts w:ascii="SimHei" w:eastAsia="SimHei" w:hAnsi="SimHei" w:cs="SimHei"/>
          <w:color w:val="666666"/>
        </w:rPr>
        <w:t>学校概况</w:t>
      </w:r>
    </w:p>
    <w:p>
      <w:pPr>
        <w:pBdr>
          <w:top w:val="none" w:sz="0" w:space="0" w:color="auto"/>
          <w:left w:val="none" w:sz="0" w:space="0" w:color="auto"/>
          <w:bottom w:val="none" w:sz="0" w:space="0" w:color="auto"/>
          <w:right w:val="none" w:sz="0" w:space="0" w:color="auto"/>
        </w:pBdr>
        <w:spacing w:before="0" w:after="0" w:line="37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同济大学浙江学院是经国家教育部正式批准设立的一所按新机制、新模式运作的独立学院，由同济大学、宏达控股集团有限公司和嘉兴市教育发展投资有限责任公司合作举办。</w:t>
      </w:r>
    </w:p>
    <w:p>
      <w:pPr>
        <w:pBdr>
          <w:top w:val="none" w:sz="0" w:space="0" w:color="auto"/>
          <w:left w:val="none" w:sz="0" w:space="0" w:color="auto"/>
          <w:bottom w:val="none" w:sz="0" w:space="0" w:color="auto"/>
          <w:right w:val="none" w:sz="0" w:space="0" w:color="auto"/>
        </w:pBdr>
        <w:spacing w:before="0" w:after="0" w:line="37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同济大学浙江学院</w:t>
      </w:r>
      <w:r>
        <w:rPr>
          <w:rFonts w:ascii="SimSun" w:eastAsia="SimSun" w:hAnsi="SimSun" w:cs="SimSun"/>
          <w:color w:val="666666"/>
        </w:rPr>
        <w:t>位于嘉兴市商务大道</w:t>
      </w:r>
      <w:r>
        <w:rPr>
          <w:rFonts w:ascii="Microsoft YaHei" w:eastAsia="Microsoft YaHei" w:hAnsi="Microsoft YaHei" w:cs="Microsoft YaHei"/>
          <w:color w:val="666666"/>
        </w:rPr>
        <w:t>168</w:t>
      </w:r>
      <w:r>
        <w:rPr>
          <w:rFonts w:ascii="SimSun" w:eastAsia="SimSun" w:hAnsi="SimSun" w:cs="SimSun"/>
          <w:color w:val="666666"/>
        </w:rPr>
        <w:t>号，校区占地面积</w:t>
      </w:r>
      <w:r>
        <w:rPr>
          <w:rFonts w:ascii="Microsoft YaHei" w:eastAsia="Microsoft YaHei" w:hAnsi="Microsoft YaHei" w:cs="Microsoft YaHei"/>
          <w:color w:val="666666"/>
        </w:rPr>
        <w:t>830</w:t>
      </w:r>
      <w:r>
        <w:rPr>
          <w:rFonts w:ascii="SimSun" w:eastAsia="SimSun" w:hAnsi="SimSun" w:cs="SimSun"/>
          <w:color w:val="666666"/>
        </w:rPr>
        <w:t>亩，校园环境优美，教学设施先进，生活条件完备。</w:t>
      </w:r>
    </w:p>
    <w:p>
      <w:pPr>
        <w:pBdr>
          <w:top w:val="none" w:sz="0" w:space="0" w:color="auto"/>
          <w:left w:val="none" w:sz="0" w:space="0" w:color="auto"/>
          <w:bottom w:val="none" w:sz="0" w:space="0" w:color="auto"/>
          <w:right w:val="none" w:sz="0" w:space="0" w:color="auto"/>
        </w:pBdr>
        <w:spacing w:before="0" w:after="0" w:line="375" w:lineRule="atLeast"/>
        <w:ind w:left="0" w:right="0" w:firstLine="480"/>
        <w:rPr>
          <w:rFonts w:ascii="Microsoft YaHei" w:eastAsia="Microsoft YaHei" w:hAnsi="Microsoft YaHei" w:cs="Microsoft YaHei"/>
          <w:color w:val="666666"/>
          <w:sz w:val="21"/>
          <w:szCs w:val="21"/>
        </w:rPr>
      </w:pPr>
      <w:r>
        <w:rPr>
          <w:rFonts w:ascii="SimHei" w:eastAsia="SimHei" w:hAnsi="SimHei" w:cs="SimHei"/>
          <w:color w:val="666666"/>
        </w:rPr>
        <w:t>二、学历、学位证书</w:t>
      </w:r>
    </w:p>
    <w:p>
      <w:pPr>
        <w:pBdr>
          <w:top w:val="none" w:sz="0" w:space="0" w:color="auto"/>
          <w:left w:val="none" w:sz="0" w:space="0" w:color="auto"/>
          <w:bottom w:val="none" w:sz="0" w:space="0" w:color="auto"/>
          <w:right w:val="none" w:sz="0" w:space="0" w:color="auto"/>
        </w:pBdr>
        <w:spacing w:before="0" w:after="0" w:line="37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凡取得同济大学浙江学院学籍的学生，在规定时间内，修完学校培养计划规定的内容，成绩合格者，可获得国家统一电子注册的同济大学浙江学院本科毕业证书；</w:t>
      </w:r>
      <w:r>
        <w:rPr>
          <w:rFonts w:ascii="SimSun" w:eastAsia="SimSun" w:hAnsi="SimSun" w:cs="SimSun"/>
          <w:color w:val="666666"/>
        </w:rPr>
        <w:t>符合学士学位授予条件的，由</w:t>
      </w:r>
      <w:r>
        <w:rPr>
          <w:rFonts w:ascii="SimSun" w:eastAsia="SimSun" w:hAnsi="SimSun" w:cs="SimSun"/>
          <w:color w:val="666666"/>
        </w:rPr>
        <w:t>同济大学浙江学院颁发</w:t>
      </w:r>
      <w:r>
        <w:rPr>
          <w:rFonts w:ascii="SimSun" w:eastAsia="SimSun" w:hAnsi="SimSun" w:cs="SimSun"/>
          <w:color w:val="666666"/>
        </w:rPr>
        <w:t>学士学位证书：</w:t>
      </w:r>
    </w:p>
    <w:p>
      <w:pPr>
        <w:pBdr>
          <w:top w:val="none" w:sz="0" w:space="0" w:color="auto"/>
          <w:left w:val="none" w:sz="0" w:space="0" w:color="auto"/>
          <w:bottom w:val="none" w:sz="0" w:space="0" w:color="auto"/>
          <w:right w:val="none" w:sz="0" w:space="0" w:color="auto"/>
        </w:pBdr>
        <w:spacing w:before="0" w:after="0" w:line="375" w:lineRule="atLeast"/>
        <w:ind w:left="0" w:right="0" w:firstLine="480"/>
        <w:rPr>
          <w:rFonts w:ascii="Microsoft YaHei" w:eastAsia="Microsoft YaHei" w:hAnsi="Microsoft YaHei" w:cs="Microsoft YaHei"/>
          <w:color w:val="666666"/>
          <w:sz w:val="21"/>
          <w:szCs w:val="21"/>
        </w:rPr>
      </w:pPr>
      <w:r>
        <w:rPr>
          <w:rFonts w:ascii="Microsoft YaHei" w:eastAsia="Microsoft YaHei" w:hAnsi="Microsoft YaHei" w:cs="Microsoft YaHei"/>
          <w:color w:val="666666"/>
        </w:rPr>
        <w:t> </w:t>
      </w:r>
    </w:p>
    <w:tbl>
      <w:tblPr>
        <w:tblW w:w="14325"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
      <w:tblGrid>
        <w:gridCol w:w="29749"/>
        <w:gridCol w:w="739"/>
        <w:gridCol w:w="1192"/>
      </w:tblGrid>
      <w:tr>
        <w:tblPrEx>
          <w:tblW w:w="14325"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Ex>
        <w:trPr>
          <w:trHeight w:val="360"/>
        </w:trPr>
        <w:tc>
          <w:tcPr>
            <w:tcW w:w="619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Hei" w:eastAsia="SimHei" w:hAnsi="SimHei" w:cs="SimHei"/>
                <w:b/>
                <w:bCs/>
                <w:i w:val="0"/>
                <w:iCs w:val="0"/>
                <w:smallCaps w:val="0"/>
                <w:color w:val="666666"/>
              </w:rPr>
              <w:t>专业</w:t>
            </w:r>
          </w:p>
        </w:tc>
        <w:tc>
          <w:tcPr>
            <w:tcW w:w="158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Hei" w:eastAsia="SimHei" w:hAnsi="SimHei" w:cs="SimHei"/>
                <w:b/>
                <w:bCs/>
                <w:i w:val="0"/>
                <w:iCs w:val="0"/>
                <w:smallCaps w:val="0"/>
                <w:color w:val="666666"/>
              </w:rPr>
              <w:t>学制</w:t>
            </w:r>
          </w:p>
        </w:tc>
        <w:tc>
          <w:tcPr>
            <w:tcW w:w="198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Hei" w:eastAsia="SimHei" w:hAnsi="SimHei" w:cs="SimHei"/>
                <w:b/>
                <w:bCs/>
                <w:i w:val="0"/>
                <w:iCs w:val="0"/>
                <w:smallCaps w:val="0"/>
                <w:color w:val="666666"/>
              </w:rPr>
              <w:t>学士学位</w:t>
            </w:r>
          </w:p>
        </w:tc>
      </w:tr>
      <w:tr>
        <w:tblPrEx>
          <w:tblW w:w="14325" w:type="dxa"/>
          <w:tblInd w:w="165" w:type="dxa"/>
          <w:tblCellMar>
            <w:top w:w="0" w:type="dxa"/>
            <w:left w:w="0" w:type="dxa"/>
            <w:bottom w:w="0" w:type="dxa"/>
            <w:right w:w="0" w:type="dxa"/>
          </w:tblCellMar>
        </w:tblPrEx>
        <w:trPr>
          <w:trHeight w:val="360"/>
        </w:trPr>
        <w:tc>
          <w:tcPr>
            <w:tcW w:w="619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建筑学</w:t>
            </w:r>
          </w:p>
        </w:tc>
        <w:tc>
          <w:tcPr>
            <w:tcW w:w="15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5</w:t>
            </w:r>
          </w:p>
        </w:tc>
        <w:tc>
          <w:tcPr>
            <w:tcW w:w="19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工学</w:t>
            </w:r>
          </w:p>
        </w:tc>
      </w:tr>
      <w:tr>
        <w:tblPrEx>
          <w:tblW w:w="14325" w:type="dxa"/>
          <w:tblInd w:w="165" w:type="dxa"/>
          <w:tblCellMar>
            <w:top w:w="0" w:type="dxa"/>
            <w:left w:w="0" w:type="dxa"/>
            <w:bottom w:w="0" w:type="dxa"/>
            <w:right w:w="0" w:type="dxa"/>
          </w:tblCellMar>
        </w:tblPrEx>
        <w:trPr>
          <w:trHeight w:val="360"/>
        </w:trPr>
        <w:tc>
          <w:tcPr>
            <w:tcW w:w="619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土木工程、环境工程、给排水科学与工程、材料科学与工程、建筑环境与能源应用工程、交通工程、交通运输、机械设计制造及其自动化、车辆工程、汽车服务工程、电气工程及其自动化、自动化、电子信息工程、通信工程、轨道交通信号与控制、计算机科学与技术、建筑电气与智能化、宝石及材料工艺学</w:t>
            </w:r>
          </w:p>
        </w:tc>
        <w:tc>
          <w:tcPr>
            <w:tcW w:w="15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4</w:t>
            </w:r>
          </w:p>
        </w:tc>
        <w:tc>
          <w:tcPr>
            <w:tcW w:w="19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工学</w:t>
            </w:r>
          </w:p>
        </w:tc>
      </w:tr>
      <w:tr>
        <w:tblPrEx>
          <w:tblW w:w="14325" w:type="dxa"/>
          <w:tblInd w:w="165" w:type="dxa"/>
          <w:tblCellMar>
            <w:top w:w="0" w:type="dxa"/>
            <w:left w:w="0" w:type="dxa"/>
            <w:bottom w:w="0" w:type="dxa"/>
            <w:right w:w="0" w:type="dxa"/>
          </w:tblCellMar>
        </w:tblPrEx>
        <w:trPr>
          <w:trHeight w:val="360"/>
        </w:trPr>
        <w:tc>
          <w:tcPr>
            <w:tcW w:w="619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医学影像技术</w:t>
            </w:r>
          </w:p>
        </w:tc>
        <w:tc>
          <w:tcPr>
            <w:tcW w:w="15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4</w:t>
            </w:r>
          </w:p>
        </w:tc>
        <w:tc>
          <w:tcPr>
            <w:tcW w:w="19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理学</w:t>
            </w:r>
          </w:p>
        </w:tc>
      </w:tr>
      <w:tr>
        <w:tblPrEx>
          <w:tblW w:w="14325" w:type="dxa"/>
          <w:tblInd w:w="165" w:type="dxa"/>
          <w:tblCellMar>
            <w:top w:w="0" w:type="dxa"/>
            <w:left w:w="0" w:type="dxa"/>
            <w:bottom w:w="0" w:type="dxa"/>
            <w:right w:w="0" w:type="dxa"/>
          </w:tblCellMar>
        </w:tblPrEx>
        <w:trPr>
          <w:trHeight w:val="360"/>
        </w:trPr>
        <w:tc>
          <w:tcPr>
            <w:tcW w:w="619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国际经济与贸易、金融工程</w:t>
            </w:r>
          </w:p>
        </w:tc>
        <w:tc>
          <w:tcPr>
            <w:tcW w:w="15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4</w:t>
            </w:r>
          </w:p>
        </w:tc>
        <w:tc>
          <w:tcPr>
            <w:tcW w:w="19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经济学</w:t>
            </w:r>
          </w:p>
        </w:tc>
      </w:tr>
      <w:tr>
        <w:tblPrEx>
          <w:tblW w:w="14325" w:type="dxa"/>
          <w:tblInd w:w="165" w:type="dxa"/>
          <w:tblCellMar>
            <w:top w:w="0" w:type="dxa"/>
            <w:left w:w="0" w:type="dxa"/>
            <w:bottom w:w="0" w:type="dxa"/>
            <w:right w:w="0" w:type="dxa"/>
          </w:tblCellMar>
        </w:tblPrEx>
        <w:trPr>
          <w:trHeight w:val="360"/>
        </w:trPr>
        <w:tc>
          <w:tcPr>
            <w:tcW w:w="619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工商管理、行政管理、会计学、审计学、文化产业管理</w:t>
            </w:r>
          </w:p>
        </w:tc>
        <w:tc>
          <w:tcPr>
            <w:tcW w:w="15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4</w:t>
            </w:r>
          </w:p>
        </w:tc>
        <w:tc>
          <w:tcPr>
            <w:tcW w:w="19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管理学</w:t>
            </w:r>
          </w:p>
        </w:tc>
      </w:tr>
      <w:tr>
        <w:tblPrEx>
          <w:tblW w:w="14325" w:type="dxa"/>
          <w:tblInd w:w="165" w:type="dxa"/>
          <w:tblCellMar>
            <w:top w:w="0" w:type="dxa"/>
            <w:left w:w="0" w:type="dxa"/>
            <w:bottom w:w="0" w:type="dxa"/>
            <w:right w:w="0" w:type="dxa"/>
          </w:tblCellMar>
        </w:tblPrEx>
        <w:trPr>
          <w:trHeight w:val="360"/>
        </w:trPr>
        <w:tc>
          <w:tcPr>
            <w:tcW w:w="619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英语、商务英语、德语</w:t>
            </w:r>
          </w:p>
        </w:tc>
        <w:tc>
          <w:tcPr>
            <w:tcW w:w="15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4</w:t>
            </w:r>
          </w:p>
        </w:tc>
        <w:tc>
          <w:tcPr>
            <w:tcW w:w="19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文学</w:t>
            </w:r>
          </w:p>
        </w:tc>
      </w:tr>
      <w:tr>
        <w:tblPrEx>
          <w:tblW w:w="14325" w:type="dxa"/>
          <w:tblInd w:w="165" w:type="dxa"/>
          <w:tblCellMar>
            <w:top w:w="0" w:type="dxa"/>
            <w:left w:w="0" w:type="dxa"/>
            <w:bottom w:w="0" w:type="dxa"/>
            <w:right w:w="0" w:type="dxa"/>
          </w:tblCellMar>
        </w:tblPrEx>
        <w:trPr>
          <w:trHeight w:val="360"/>
        </w:trPr>
        <w:tc>
          <w:tcPr>
            <w:tcW w:w="619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工艺美术</w:t>
            </w:r>
          </w:p>
        </w:tc>
        <w:tc>
          <w:tcPr>
            <w:tcW w:w="15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4</w:t>
            </w:r>
          </w:p>
        </w:tc>
        <w:tc>
          <w:tcPr>
            <w:tcW w:w="19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艺术学</w:t>
            </w:r>
          </w:p>
        </w:tc>
      </w:tr>
      <w:tr>
        <w:tblPrEx>
          <w:tblW w:w="14325" w:type="dxa"/>
          <w:tblInd w:w="165" w:type="dxa"/>
          <w:tblCellMar>
            <w:top w:w="0" w:type="dxa"/>
            <w:left w:w="0" w:type="dxa"/>
            <w:bottom w:w="0" w:type="dxa"/>
            <w:right w:w="0" w:type="dxa"/>
          </w:tblCellMar>
        </w:tblPrEx>
        <w:trPr>
          <w:trHeight w:val="360"/>
        </w:trPr>
        <w:tc>
          <w:tcPr>
            <w:tcW w:w="619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财务管理（专升本）</w:t>
            </w:r>
          </w:p>
        </w:tc>
        <w:tc>
          <w:tcPr>
            <w:tcW w:w="15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2</w:t>
            </w:r>
          </w:p>
        </w:tc>
        <w:tc>
          <w:tcPr>
            <w:tcW w:w="19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管理学</w:t>
            </w:r>
          </w:p>
        </w:tc>
      </w:tr>
    </w:tbl>
    <w:p>
      <w:pPr>
        <w:pBdr>
          <w:top w:val="none" w:sz="0" w:space="0" w:color="auto"/>
          <w:left w:val="none" w:sz="0" w:space="0" w:color="auto"/>
          <w:bottom w:val="none" w:sz="0" w:space="0" w:color="auto"/>
          <w:right w:val="none" w:sz="0" w:space="0" w:color="auto"/>
        </w:pBdr>
        <w:spacing w:before="0" w:after="0" w:line="375" w:lineRule="atLeast"/>
        <w:ind w:left="0" w:right="0" w:firstLine="480"/>
        <w:rPr>
          <w:rFonts w:ascii="Microsoft YaHei" w:eastAsia="Microsoft YaHei" w:hAnsi="Microsoft YaHei" w:cs="Microsoft YaHei"/>
          <w:color w:val="666666"/>
          <w:sz w:val="21"/>
          <w:szCs w:val="21"/>
        </w:rPr>
      </w:pPr>
      <w:r>
        <w:rPr>
          <w:rFonts w:ascii="SimHei" w:eastAsia="SimHei" w:hAnsi="SimHei" w:cs="SimHei"/>
          <w:color w:val="666666"/>
        </w:rPr>
        <w:t>三、招生计划</w:t>
      </w:r>
    </w:p>
    <w:p>
      <w:pPr>
        <w:pBdr>
          <w:top w:val="none" w:sz="0" w:space="0" w:color="auto"/>
          <w:left w:val="none" w:sz="0" w:space="0" w:color="auto"/>
          <w:bottom w:val="none" w:sz="0" w:space="0" w:color="auto"/>
          <w:right w:val="none" w:sz="0" w:space="0" w:color="auto"/>
        </w:pBdr>
        <w:spacing w:before="0" w:after="0" w:line="375" w:lineRule="atLeast"/>
        <w:ind w:left="0" w:right="0" w:firstLine="480"/>
        <w:rPr>
          <w:rFonts w:ascii="Microsoft YaHei" w:eastAsia="Microsoft YaHei" w:hAnsi="Microsoft YaHei" w:cs="Microsoft YaHei"/>
          <w:color w:val="666666"/>
          <w:sz w:val="21"/>
          <w:szCs w:val="21"/>
        </w:rPr>
      </w:pPr>
      <w:r>
        <w:rPr>
          <w:rFonts w:ascii="Microsoft YaHei" w:eastAsia="Microsoft YaHei" w:hAnsi="Microsoft YaHei" w:cs="Microsoft YaHei"/>
          <w:color w:val="666666"/>
        </w:rPr>
        <w:t>2019</w:t>
      </w:r>
      <w:r>
        <w:rPr>
          <w:rFonts w:ascii="SimSun" w:eastAsia="SimSun" w:hAnsi="SimSun" w:cs="SimSun"/>
          <w:color w:val="666666"/>
        </w:rPr>
        <w:t>年学校面向浙江、</w:t>
      </w:r>
      <w:r>
        <w:rPr>
          <w:rFonts w:ascii="SimSun" w:eastAsia="SimSun" w:hAnsi="SimSun" w:cs="SimSun"/>
          <w:color w:val="666666"/>
        </w:rPr>
        <w:t>上海、江苏、福建、山东、广东、安徽、甘肃、河北、四川、天津、辽宁、江西、湖北、湖南、北京、重庆、山西、内蒙古、陕西、吉林、黑龙江、河南、广西、海南、云南、贵州等27个省（</w:t>
      </w:r>
      <w:r>
        <w:rPr>
          <w:rFonts w:ascii="SimSun" w:eastAsia="SimSun" w:hAnsi="SimSun" w:cs="SimSun"/>
          <w:color w:val="666666"/>
        </w:rPr>
        <w:t>市、自治区）计划招收本科生，分省（市、自治区）分专业招生计划及说明以生源地招生主管部门公布为准</w:t>
      </w:r>
      <w:r>
        <w:rPr>
          <w:rFonts w:ascii="SimSun" w:eastAsia="SimSun" w:hAnsi="SimSun" w:cs="SimSun"/>
          <w:color w:val="666666"/>
        </w:rPr>
        <w:t>。</w:t>
      </w:r>
    </w:p>
    <w:p>
      <w:pPr>
        <w:pBdr>
          <w:top w:val="none" w:sz="0" w:space="0" w:color="auto"/>
          <w:left w:val="none" w:sz="0" w:space="0" w:color="auto"/>
          <w:bottom w:val="none" w:sz="0" w:space="0" w:color="auto"/>
          <w:right w:val="none" w:sz="0" w:space="0" w:color="auto"/>
        </w:pBdr>
        <w:spacing w:before="0" w:after="0" w:line="375" w:lineRule="atLeast"/>
        <w:ind w:left="0" w:right="0" w:firstLine="480"/>
        <w:rPr>
          <w:rFonts w:ascii="Microsoft YaHei" w:eastAsia="Microsoft YaHei" w:hAnsi="Microsoft YaHei" w:cs="Microsoft YaHei"/>
          <w:color w:val="666666"/>
          <w:sz w:val="21"/>
          <w:szCs w:val="21"/>
        </w:rPr>
      </w:pPr>
      <w:r>
        <w:rPr>
          <w:rFonts w:ascii="SimHei" w:eastAsia="SimHei" w:hAnsi="SimHei" w:cs="SimHei"/>
          <w:color w:val="666666"/>
        </w:rPr>
        <w:t>四、录取规则</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1.</w:t>
      </w:r>
      <w:r>
        <w:rPr>
          <w:rFonts w:ascii="SimSun" w:eastAsia="SimSun" w:hAnsi="SimSun" w:cs="SimSun"/>
          <w:color w:val="666666"/>
        </w:rPr>
        <w:t>按照教育部要求，学校招生工作遵循公平竞争、公正选拔、全面考核、综合评价、择优录取、</w:t>
      </w:r>
      <w:r>
        <w:rPr>
          <w:rFonts w:ascii="SimSun" w:eastAsia="SimSun" w:hAnsi="SimSun" w:cs="SimSun"/>
          <w:color w:val="666666"/>
        </w:rPr>
        <w:t>男女生一视同仁</w:t>
      </w:r>
      <w:r>
        <w:rPr>
          <w:rFonts w:ascii="SimSun" w:eastAsia="SimSun" w:hAnsi="SimSun" w:cs="SimSun"/>
          <w:color w:val="666666"/>
        </w:rPr>
        <w:t>的原则。</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2.</w:t>
      </w:r>
      <w:r>
        <w:rPr>
          <w:rFonts w:ascii="SimSun" w:eastAsia="SimSun" w:hAnsi="SimSun" w:cs="SimSun"/>
          <w:color w:val="666666"/>
        </w:rPr>
        <w:t>学校按照各省（市、自治区）考试院（招生办公室）公布的批次招生。</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3.</w:t>
      </w:r>
      <w:r>
        <w:rPr>
          <w:rFonts w:ascii="SimSun" w:eastAsia="SimSun" w:hAnsi="SimSun" w:cs="SimSun"/>
          <w:color w:val="666666"/>
        </w:rPr>
        <w:t>招生录取时在第一学校志愿（含平行志愿）考生生源不满招生计划数时，则录取非第一学校志愿（征求志愿）考生，非第一学校志愿（征求志愿）的考生只能录取到本校前志愿录取后未满额的专业。</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4.</w:t>
      </w:r>
      <w:r>
        <w:rPr>
          <w:rFonts w:ascii="SimSun" w:eastAsia="SimSun" w:hAnsi="SimSun" w:cs="SimSun"/>
          <w:color w:val="666666"/>
        </w:rPr>
        <w:t>进档考生专业录取</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w:t>
      </w:r>
      <w:r>
        <w:rPr>
          <w:rFonts w:ascii="Microsoft YaHei" w:eastAsia="Microsoft YaHei" w:hAnsi="Microsoft YaHei" w:cs="Microsoft YaHei"/>
          <w:color w:val="666666"/>
        </w:rPr>
        <w:t>1</w:t>
      </w:r>
      <w:r>
        <w:rPr>
          <w:rFonts w:ascii="SimSun" w:eastAsia="SimSun" w:hAnsi="SimSun" w:cs="SimSun"/>
          <w:color w:val="666666"/>
        </w:rPr>
        <w:t>）浙江省、上海市的录取：学校对实施高校考试招生制度综合改革试点的浙江省和上海市设定招生专业选考科目要求，考生在满足选考科目要求的前提下填报相关专业志愿，并严格执行考生所在省（市）招生主管部门关于投档的有关规定。</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w:t>
      </w:r>
      <w:r>
        <w:rPr>
          <w:rFonts w:ascii="Microsoft YaHei" w:eastAsia="Microsoft YaHei" w:hAnsi="Microsoft YaHei" w:cs="Microsoft YaHei"/>
          <w:color w:val="666666"/>
        </w:rPr>
        <w:t>2</w:t>
      </w:r>
      <w:r>
        <w:rPr>
          <w:rFonts w:ascii="SimSun" w:eastAsia="SimSun" w:hAnsi="SimSun" w:cs="SimSun"/>
          <w:color w:val="666666"/>
        </w:rPr>
        <w:t>）其他省份的录取：学校执行考生所在省（市、自治区）招生主管部门关于投档的有关规定。对于进档考生，根据“分数优先、遵循志愿”原则择优录取，专业志愿间无级差分。学校专业录取规则按高考投档成绩从高分到低分依次录取；高考投档成绩相同的考生，专业志愿顺序在前者优先录取；高考投档成绩相同且专业志愿顺序相同的考生，理科录取以数学（依次外语、语文）成绩、文科录取以语文（依次外语、数学）成绩高者优先录取。未能满足所填专业志愿的录取范围的考生，对填写服从专业调剂的将随机调剂到未满计划的其他专业录取，对填写不服从专业调剂的将予以退档。</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5. </w:t>
      </w:r>
      <w:r>
        <w:rPr>
          <w:rFonts w:ascii="SimSun" w:eastAsia="SimSun" w:hAnsi="SimSun" w:cs="SimSun"/>
          <w:color w:val="666666"/>
        </w:rPr>
        <w:t>艺术类专业报名对象、投档及录取</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w:t>
      </w:r>
      <w:r>
        <w:rPr>
          <w:rFonts w:ascii="Microsoft YaHei" w:eastAsia="Microsoft YaHei" w:hAnsi="Microsoft YaHei" w:cs="Microsoft YaHei"/>
          <w:color w:val="666666"/>
        </w:rPr>
        <w:t>1</w:t>
      </w:r>
      <w:r>
        <w:rPr>
          <w:rFonts w:ascii="SimSun" w:eastAsia="SimSun" w:hAnsi="SimSun" w:cs="SimSun"/>
          <w:color w:val="666666"/>
        </w:rPr>
        <w:t>）招生专业：工艺美术</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w:t>
      </w:r>
      <w:r>
        <w:rPr>
          <w:rFonts w:ascii="Microsoft YaHei" w:eastAsia="Microsoft YaHei" w:hAnsi="Microsoft YaHei" w:cs="Microsoft YaHei"/>
          <w:color w:val="666666"/>
        </w:rPr>
        <w:t>2</w:t>
      </w:r>
      <w:r>
        <w:rPr>
          <w:rFonts w:ascii="SimSun" w:eastAsia="SimSun" w:hAnsi="SimSun" w:cs="SimSun"/>
          <w:color w:val="666666"/>
        </w:rPr>
        <w:t>）报名对象：参加高考所在省级考试部门统一组织的美术类专业考试，成绩达到省统考本科合格分数线，取得美术类专业省统考合格证，且高考文化成绩达到所参加高考省份高招办划定的我校艺术类专业招生批次相应录取控制分数线。</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w:t>
      </w:r>
      <w:r>
        <w:rPr>
          <w:rFonts w:ascii="Microsoft YaHei" w:eastAsia="Microsoft YaHei" w:hAnsi="Microsoft YaHei" w:cs="Microsoft YaHei"/>
          <w:color w:val="666666"/>
        </w:rPr>
        <w:t>3</w:t>
      </w:r>
      <w:r>
        <w:rPr>
          <w:rFonts w:ascii="SimSun" w:eastAsia="SimSun" w:hAnsi="SimSun" w:cs="SimSun"/>
          <w:color w:val="666666"/>
        </w:rPr>
        <w:t>）投档：按照各省级招办规定的投档方式进行投档。</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注：各省艺术类投档方式不同，请考生关注各省相关政策规定。</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w:t>
      </w:r>
      <w:r>
        <w:rPr>
          <w:rFonts w:ascii="Microsoft YaHei" w:eastAsia="Microsoft YaHei" w:hAnsi="Microsoft YaHei" w:cs="Microsoft YaHei"/>
          <w:color w:val="666666"/>
        </w:rPr>
        <w:t>4</w:t>
      </w:r>
      <w:r>
        <w:rPr>
          <w:rFonts w:ascii="SimSun" w:eastAsia="SimSun" w:hAnsi="SimSun" w:cs="SimSun"/>
          <w:color w:val="666666"/>
        </w:rPr>
        <w:t>）录取：对各省依照省级招办投档规则投档进校的考生进行专业录取。</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①按考生的专业统考成绩和高考文化成绩计算进档考生的综合分。</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综合分</w:t>
      </w:r>
      <w:r>
        <w:rPr>
          <w:rFonts w:ascii="Microsoft YaHei" w:eastAsia="Microsoft YaHei" w:hAnsi="Microsoft YaHei" w:cs="Microsoft YaHei"/>
          <w:color w:val="666666"/>
        </w:rPr>
        <w:t>=（</w:t>
      </w:r>
      <w:r>
        <w:rPr>
          <w:rFonts w:ascii="SimSun" w:eastAsia="SimSun" w:hAnsi="SimSun" w:cs="SimSun"/>
          <w:color w:val="666666"/>
        </w:rPr>
        <w:t>专业统考成绩</w:t>
      </w:r>
      <w:r>
        <w:rPr>
          <w:rFonts w:ascii="Microsoft YaHei" w:eastAsia="Microsoft YaHei" w:hAnsi="Microsoft YaHei" w:cs="Microsoft YaHei"/>
          <w:color w:val="666666"/>
        </w:rPr>
        <w:t>/</w:t>
      </w:r>
      <w:r>
        <w:rPr>
          <w:rFonts w:ascii="SimSun" w:eastAsia="SimSun" w:hAnsi="SimSun" w:cs="SimSun"/>
          <w:color w:val="666666"/>
        </w:rPr>
        <w:t>专业统考满分</w:t>
      </w:r>
      <w:r>
        <w:rPr>
          <w:rFonts w:ascii="SimSun" w:eastAsia="SimSun" w:hAnsi="SimSun" w:cs="SimSun"/>
          <w:color w:val="666666"/>
        </w:rPr>
        <w:t>）</w:t>
      </w:r>
      <w:r>
        <w:rPr>
          <w:rFonts w:ascii="SimSun" w:eastAsia="SimSun" w:hAnsi="SimSun" w:cs="SimSun"/>
          <w:color w:val="666666"/>
        </w:rPr>
        <w:t>×</w:t>
      </w:r>
      <w:r>
        <w:rPr>
          <w:rFonts w:ascii="Microsoft YaHei" w:eastAsia="Microsoft YaHei" w:hAnsi="Microsoft YaHei" w:cs="Microsoft YaHei"/>
          <w:color w:val="666666"/>
        </w:rPr>
        <w:t>500 +（</w:t>
      </w:r>
      <w:r>
        <w:rPr>
          <w:rFonts w:ascii="SimSun" w:eastAsia="SimSun" w:hAnsi="SimSun" w:cs="SimSun"/>
          <w:color w:val="666666"/>
        </w:rPr>
        <w:t>高考文化成绩</w:t>
      </w:r>
      <w:r>
        <w:rPr>
          <w:rFonts w:ascii="Microsoft YaHei" w:eastAsia="Microsoft YaHei" w:hAnsi="Microsoft YaHei" w:cs="Microsoft YaHei"/>
          <w:color w:val="666666"/>
        </w:rPr>
        <w:t>/</w:t>
      </w:r>
      <w:r>
        <w:rPr>
          <w:rFonts w:ascii="SimSun" w:eastAsia="SimSun" w:hAnsi="SimSun" w:cs="SimSun"/>
          <w:color w:val="666666"/>
        </w:rPr>
        <w:t>高考文化满分</w:t>
      </w:r>
      <w:r>
        <w:rPr>
          <w:rFonts w:ascii="SimSun" w:eastAsia="SimSun" w:hAnsi="SimSun" w:cs="SimSun"/>
          <w:color w:val="666666"/>
        </w:rPr>
        <w:t>）</w:t>
      </w:r>
      <w:r>
        <w:rPr>
          <w:rFonts w:ascii="SimSun" w:eastAsia="SimSun" w:hAnsi="SimSun" w:cs="SimSun"/>
          <w:color w:val="666666"/>
        </w:rPr>
        <w:t>×</w:t>
      </w:r>
      <w:r>
        <w:rPr>
          <w:rFonts w:ascii="Microsoft YaHei" w:eastAsia="Microsoft YaHei" w:hAnsi="Microsoft YaHei" w:cs="Microsoft YaHei"/>
          <w:color w:val="666666"/>
        </w:rPr>
        <w:t>500</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文理不分的省份，按照综合分从高到低不分文理统一排序，依据计划数择优录取；区分文理招生的省份，按照综合分从高到低文、理分别排序，依据计划数择优录取。</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②综合分相同考生，以专业统考成绩高者优先录取；专业统考成绩、高考文化成绩相同考生，依次以语文、外语、数学成绩的高低为录取顺序。</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③优先录取第一学校志愿考生；未完成招生计划的情况下，再录取第二学校志愿考生。</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6.</w:t>
      </w:r>
      <w:r>
        <w:rPr>
          <w:rFonts w:ascii="SimSun" w:eastAsia="SimSun" w:hAnsi="SimSun" w:cs="SimSun"/>
          <w:color w:val="666666"/>
        </w:rPr>
        <w:t>学校</w:t>
      </w:r>
      <w:r>
        <w:rPr>
          <w:rFonts w:ascii="SimSun" w:eastAsia="SimSun" w:hAnsi="SimSun" w:cs="SimSun"/>
          <w:color w:val="666666"/>
        </w:rPr>
        <w:t>对录取新生的健康要求，按教育部、卫生部、中国残疾人联合会印发的《普通高等学校招生体检工作指导意见》等有关规定执行。</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7.</w:t>
      </w:r>
      <w:r>
        <w:rPr>
          <w:rFonts w:ascii="SimSun" w:eastAsia="SimSun" w:hAnsi="SimSun" w:cs="SimSun"/>
          <w:color w:val="666666"/>
        </w:rPr>
        <w:t>学校对符合教育部规定的有关加分政策均予认可。</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8.</w:t>
      </w:r>
      <w:r>
        <w:rPr>
          <w:rFonts w:ascii="SimSun" w:eastAsia="SimSun" w:hAnsi="SimSun" w:cs="SimSun"/>
          <w:color w:val="666666"/>
        </w:rPr>
        <w:t>学校今年招生的各专业均无加试要求。</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9.</w:t>
      </w:r>
      <w:r>
        <w:rPr>
          <w:rFonts w:ascii="SimSun" w:eastAsia="SimSun" w:hAnsi="SimSun" w:cs="SimSun"/>
          <w:color w:val="666666"/>
        </w:rPr>
        <w:t>学校所有专业的公共外语课程只开设英语课程。</w:t>
      </w:r>
    </w:p>
    <w:p>
      <w:pPr>
        <w:pBdr>
          <w:top w:val="none" w:sz="0" w:space="0" w:color="auto"/>
          <w:left w:val="none" w:sz="0" w:space="0" w:color="auto"/>
          <w:bottom w:val="none" w:sz="0" w:space="0" w:color="auto"/>
          <w:right w:val="none" w:sz="0" w:space="0" w:color="auto"/>
        </w:pBdr>
        <w:spacing w:before="0" w:after="0" w:line="37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10.</w:t>
      </w:r>
      <w:r>
        <w:rPr>
          <w:rFonts w:ascii="SimSun" w:eastAsia="SimSun" w:hAnsi="SimSun" w:cs="SimSun"/>
          <w:color w:val="666666"/>
        </w:rPr>
        <w:t>英语、德语专业要求高考外语单科成绩不低于100分(按高考外语总分150分计)。</w:t>
      </w:r>
    </w:p>
    <w:p>
      <w:pPr>
        <w:pBdr>
          <w:top w:val="none" w:sz="0" w:space="0" w:color="auto"/>
          <w:left w:val="none" w:sz="0" w:space="0" w:color="auto"/>
          <w:bottom w:val="none" w:sz="0" w:space="0" w:color="auto"/>
          <w:right w:val="none" w:sz="0" w:space="0" w:color="auto"/>
        </w:pBdr>
        <w:spacing w:before="0" w:after="0" w:line="375" w:lineRule="atLeast"/>
        <w:ind w:left="0" w:right="0" w:firstLine="480"/>
        <w:rPr>
          <w:rFonts w:ascii="Microsoft YaHei" w:eastAsia="Microsoft YaHei" w:hAnsi="Microsoft YaHei" w:cs="Microsoft YaHei"/>
          <w:color w:val="666666"/>
          <w:sz w:val="21"/>
          <w:szCs w:val="21"/>
        </w:rPr>
      </w:pPr>
      <w:r>
        <w:rPr>
          <w:rFonts w:ascii="SimHei" w:eastAsia="SimHei" w:hAnsi="SimHei" w:cs="SimHei"/>
          <w:color w:val="666666"/>
        </w:rPr>
        <w:t>五、收费标准</w:t>
      </w:r>
    </w:p>
    <w:p>
      <w:pPr>
        <w:pBdr>
          <w:top w:val="none" w:sz="0" w:space="0" w:color="auto"/>
          <w:left w:val="none" w:sz="0" w:space="0" w:color="auto"/>
          <w:bottom w:val="none" w:sz="0" w:space="0" w:color="auto"/>
          <w:right w:val="none" w:sz="0" w:space="0" w:color="auto"/>
        </w:pBdr>
        <w:spacing w:before="0" w:after="0" w:line="375" w:lineRule="atLeast"/>
        <w:ind w:left="0" w:right="0" w:firstLine="480"/>
        <w:rPr>
          <w:rFonts w:ascii="Microsoft YaHei" w:eastAsia="Microsoft YaHei" w:hAnsi="Microsoft YaHei" w:cs="Microsoft YaHei"/>
          <w:color w:val="666666"/>
          <w:sz w:val="21"/>
          <w:szCs w:val="21"/>
        </w:rPr>
      </w:pPr>
      <w:r>
        <w:rPr>
          <w:rFonts w:ascii="Microsoft YaHei" w:eastAsia="Microsoft YaHei" w:hAnsi="Microsoft YaHei" w:cs="Microsoft YaHei"/>
          <w:color w:val="666666"/>
        </w:rPr>
        <w:t>1</w:t>
      </w:r>
      <w:r>
        <w:rPr>
          <w:rFonts w:ascii="SimSun" w:eastAsia="SimSun" w:hAnsi="SimSun" w:cs="SimSun"/>
          <w:color w:val="666666"/>
        </w:rPr>
        <w:t>．学费</w:t>
      </w:r>
      <w:r>
        <w:rPr>
          <w:rFonts w:ascii="Microsoft YaHei" w:eastAsia="Microsoft YaHei" w:hAnsi="Microsoft YaHei" w:cs="Microsoft YaHei"/>
          <w:color w:val="666666"/>
        </w:rPr>
        <w:t>  </w:t>
      </w:r>
      <w:r>
        <w:rPr>
          <w:rFonts w:ascii="Microsoft YaHei" w:eastAsia="Microsoft YaHei" w:hAnsi="Microsoft YaHei" w:cs="Microsoft YaHei"/>
          <w:color w:val="666666"/>
        </w:rPr>
        <w:t>2019</w:t>
      </w:r>
      <w:r>
        <w:rPr>
          <w:rFonts w:ascii="SimSun" w:eastAsia="SimSun" w:hAnsi="SimSun" w:cs="SimSun"/>
          <w:color w:val="666666"/>
        </w:rPr>
        <w:t>年入学新生实行学分制收费。</w:t>
      </w:r>
      <w:r>
        <w:rPr>
          <w:rFonts w:ascii="SimSun" w:eastAsia="SimSun" w:hAnsi="SimSun" w:cs="SimSun"/>
          <w:color w:val="666666"/>
        </w:rPr>
        <w:t>新生入学时按学年学费标准预交第一学年学费，以后按年度结算</w:t>
      </w:r>
      <w:r>
        <w:rPr>
          <w:rFonts w:ascii="SimSun" w:eastAsia="SimSun" w:hAnsi="SimSun" w:cs="SimSun"/>
          <w:color w:val="666666"/>
        </w:rPr>
        <w:t>，具体标准如下：</w:t>
      </w:r>
    </w:p>
    <w:tbl>
      <w:tblPr>
        <w:tblW w:w="14325"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
      <w:tblGrid>
        <w:gridCol w:w="18870"/>
        <w:gridCol w:w="1269"/>
      </w:tblGrid>
      <w:tr>
        <w:tblPrEx>
          <w:tblW w:w="14325"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Ex>
        <w:tc>
          <w:tcPr>
            <w:tcW w:w="667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7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Hei" w:eastAsia="SimHei" w:hAnsi="SimHei" w:cs="SimHei"/>
                <w:b/>
                <w:bCs/>
                <w:i w:val="0"/>
                <w:iCs w:val="0"/>
                <w:smallCaps w:val="0"/>
                <w:color w:val="666666"/>
              </w:rPr>
              <w:t>专业</w:t>
            </w:r>
          </w:p>
        </w:tc>
        <w:tc>
          <w:tcPr>
            <w:tcW w:w="209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7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Hei" w:eastAsia="SimHei" w:hAnsi="SimHei" w:cs="SimHei"/>
                <w:b/>
                <w:bCs/>
                <w:i w:val="0"/>
                <w:iCs w:val="0"/>
                <w:smallCaps w:val="0"/>
                <w:color w:val="666666"/>
              </w:rPr>
              <w:t>收费标准</w:t>
            </w:r>
          </w:p>
        </w:tc>
      </w:tr>
      <w:tr>
        <w:tblPrEx>
          <w:tblW w:w="14325" w:type="dxa"/>
          <w:tblInd w:w="165" w:type="dxa"/>
          <w:tblCellMar>
            <w:top w:w="0" w:type="dxa"/>
            <w:left w:w="0" w:type="dxa"/>
            <w:bottom w:w="0" w:type="dxa"/>
            <w:right w:w="0" w:type="dxa"/>
          </w:tblCellMar>
        </w:tblPrEx>
        <w:tc>
          <w:tcPr>
            <w:tcW w:w="667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75"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土木工程、建筑学、建筑环境与能源应用工程、交通工程、机械设计制造及其自动化、车辆工程、医学影像技术、轨道交通信号与控制、宝石及材料工艺学、工艺美术</w:t>
            </w:r>
          </w:p>
        </w:tc>
        <w:tc>
          <w:tcPr>
            <w:tcW w:w="20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7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rPr>
              <w:t>27750</w:t>
            </w:r>
            <w:r>
              <w:rPr>
                <w:rFonts w:ascii="SimSun" w:eastAsia="SimSun" w:hAnsi="SimSun" w:cs="SimSun"/>
                <w:b w:val="0"/>
                <w:bCs w:val="0"/>
                <w:i w:val="0"/>
                <w:iCs w:val="0"/>
                <w:smallCaps w:val="0"/>
                <w:color w:val="666666"/>
              </w:rPr>
              <w:t>元</w:t>
            </w:r>
            <w:r>
              <w:rPr>
                <w:rFonts w:ascii="Microsoft YaHei" w:eastAsia="Microsoft YaHei" w:hAnsi="Microsoft YaHei" w:cs="Microsoft YaHei"/>
                <w:b w:val="0"/>
                <w:bCs w:val="0"/>
                <w:i w:val="0"/>
                <w:iCs w:val="0"/>
                <w:smallCaps w:val="0"/>
                <w:color w:val="666666"/>
              </w:rPr>
              <w:t>/</w:t>
            </w:r>
            <w:r>
              <w:rPr>
                <w:rFonts w:ascii="SimSun" w:eastAsia="SimSun" w:hAnsi="SimSun" w:cs="SimSun"/>
                <w:b w:val="0"/>
                <w:bCs w:val="0"/>
                <w:i w:val="0"/>
                <w:iCs w:val="0"/>
                <w:smallCaps w:val="0"/>
                <w:color w:val="666666"/>
              </w:rPr>
              <w:t>生</w:t>
            </w:r>
            <w:r>
              <w:rPr>
                <w:rFonts w:ascii="Microsoft YaHei" w:eastAsia="Microsoft YaHei" w:hAnsi="Microsoft YaHei" w:cs="Microsoft YaHei"/>
                <w:b w:val="0"/>
                <w:bCs w:val="0"/>
                <w:i w:val="0"/>
                <w:iCs w:val="0"/>
                <w:smallCaps w:val="0"/>
                <w:color w:val="666666"/>
              </w:rPr>
              <w:t>•</w:t>
            </w:r>
            <w:r>
              <w:rPr>
                <w:rFonts w:ascii="SimSun" w:eastAsia="SimSun" w:hAnsi="SimSun" w:cs="SimSun"/>
                <w:b w:val="0"/>
                <w:bCs w:val="0"/>
                <w:i w:val="0"/>
                <w:iCs w:val="0"/>
                <w:smallCaps w:val="0"/>
                <w:color w:val="666666"/>
              </w:rPr>
              <w:t>年</w:t>
            </w:r>
          </w:p>
        </w:tc>
      </w:tr>
      <w:tr>
        <w:tblPrEx>
          <w:tblW w:w="14325" w:type="dxa"/>
          <w:tblInd w:w="165" w:type="dxa"/>
          <w:tblCellMar>
            <w:top w:w="0" w:type="dxa"/>
            <w:left w:w="0" w:type="dxa"/>
            <w:bottom w:w="0" w:type="dxa"/>
            <w:right w:w="0" w:type="dxa"/>
          </w:tblCellMar>
        </w:tblPrEx>
        <w:tc>
          <w:tcPr>
            <w:tcW w:w="667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75"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国际经济与贸易、工商管理、金融工程、行政管理、会计学、审计学</w:t>
            </w:r>
          </w:p>
        </w:tc>
        <w:tc>
          <w:tcPr>
            <w:tcW w:w="20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7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rPr>
              <w:t>24750</w:t>
            </w:r>
            <w:r>
              <w:rPr>
                <w:rFonts w:ascii="SimSun" w:eastAsia="SimSun" w:hAnsi="SimSun" w:cs="SimSun"/>
                <w:b w:val="0"/>
                <w:bCs w:val="0"/>
                <w:i w:val="0"/>
                <w:iCs w:val="0"/>
                <w:smallCaps w:val="0"/>
                <w:color w:val="666666"/>
              </w:rPr>
              <w:t>元</w:t>
            </w:r>
            <w:r>
              <w:rPr>
                <w:rFonts w:ascii="Microsoft YaHei" w:eastAsia="Microsoft YaHei" w:hAnsi="Microsoft YaHei" w:cs="Microsoft YaHei"/>
                <w:b w:val="0"/>
                <w:bCs w:val="0"/>
                <w:i w:val="0"/>
                <w:iCs w:val="0"/>
                <w:smallCaps w:val="0"/>
                <w:color w:val="666666"/>
              </w:rPr>
              <w:t>/</w:t>
            </w:r>
            <w:r>
              <w:rPr>
                <w:rFonts w:ascii="SimSun" w:eastAsia="SimSun" w:hAnsi="SimSun" w:cs="SimSun"/>
                <w:b w:val="0"/>
                <w:bCs w:val="0"/>
                <w:i w:val="0"/>
                <w:iCs w:val="0"/>
                <w:smallCaps w:val="0"/>
                <w:color w:val="666666"/>
              </w:rPr>
              <w:t>生</w:t>
            </w:r>
            <w:r>
              <w:rPr>
                <w:rFonts w:ascii="Microsoft YaHei" w:eastAsia="Microsoft YaHei" w:hAnsi="Microsoft YaHei" w:cs="Microsoft YaHei"/>
                <w:b w:val="0"/>
                <w:bCs w:val="0"/>
                <w:i w:val="0"/>
                <w:iCs w:val="0"/>
                <w:smallCaps w:val="0"/>
                <w:color w:val="666666"/>
              </w:rPr>
              <w:t>•</w:t>
            </w:r>
            <w:r>
              <w:rPr>
                <w:rFonts w:ascii="SimSun" w:eastAsia="SimSun" w:hAnsi="SimSun" w:cs="SimSun"/>
                <w:b w:val="0"/>
                <w:bCs w:val="0"/>
                <w:i w:val="0"/>
                <w:iCs w:val="0"/>
                <w:smallCaps w:val="0"/>
                <w:color w:val="666666"/>
              </w:rPr>
              <w:t>年</w:t>
            </w:r>
          </w:p>
        </w:tc>
      </w:tr>
      <w:tr>
        <w:tblPrEx>
          <w:tblW w:w="14325" w:type="dxa"/>
          <w:tblInd w:w="165" w:type="dxa"/>
          <w:tblCellMar>
            <w:top w:w="0" w:type="dxa"/>
            <w:left w:w="0" w:type="dxa"/>
            <w:bottom w:w="0" w:type="dxa"/>
            <w:right w:w="0" w:type="dxa"/>
          </w:tblCellMar>
        </w:tblPrEx>
        <w:tc>
          <w:tcPr>
            <w:tcW w:w="667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75"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环境工程、给排水科学与工程、材料科学与工程、交通运输、汽车服务工程、电气工程及其自动化、自动化、电子信息工程、通信工程、计算机科学与技术、建筑电气与智能化</w:t>
            </w:r>
          </w:p>
        </w:tc>
        <w:tc>
          <w:tcPr>
            <w:tcW w:w="20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7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rPr>
              <w:t>20000</w:t>
            </w:r>
            <w:r>
              <w:rPr>
                <w:rFonts w:ascii="SimSun" w:eastAsia="SimSun" w:hAnsi="SimSun" w:cs="SimSun"/>
                <w:b w:val="0"/>
                <w:bCs w:val="0"/>
                <w:i w:val="0"/>
                <w:iCs w:val="0"/>
                <w:smallCaps w:val="0"/>
                <w:color w:val="666666"/>
              </w:rPr>
              <w:t>元</w:t>
            </w:r>
            <w:r>
              <w:rPr>
                <w:rFonts w:ascii="Microsoft YaHei" w:eastAsia="Microsoft YaHei" w:hAnsi="Microsoft YaHei" w:cs="Microsoft YaHei"/>
                <w:b w:val="0"/>
                <w:bCs w:val="0"/>
                <w:i w:val="0"/>
                <w:iCs w:val="0"/>
                <w:smallCaps w:val="0"/>
                <w:color w:val="666666"/>
              </w:rPr>
              <w:t>/</w:t>
            </w:r>
            <w:r>
              <w:rPr>
                <w:rFonts w:ascii="SimSun" w:eastAsia="SimSun" w:hAnsi="SimSun" w:cs="SimSun"/>
                <w:b w:val="0"/>
                <w:bCs w:val="0"/>
                <w:i w:val="0"/>
                <w:iCs w:val="0"/>
                <w:smallCaps w:val="0"/>
                <w:color w:val="666666"/>
              </w:rPr>
              <w:t>生</w:t>
            </w:r>
            <w:r>
              <w:rPr>
                <w:rFonts w:ascii="Microsoft YaHei" w:eastAsia="Microsoft YaHei" w:hAnsi="Microsoft YaHei" w:cs="Microsoft YaHei"/>
                <w:b w:val="0"/>
                <w:bCs w:val="0"/>
                <w:i w:val="0"/>
                <w:iCs w:val="0"/>
                <w:smallCaps w:val="0"/>
                <w:color w:val="666666"/>
              </w:rPr>
              <w:t>•</w:t>
            </w:r>
            <w:r>
              <w:rPr>
                <w:rFonts w:ascii="SimSun" w:eastAsia="SimSun" w:hAnsi="SimSun" w:cs="SimSun"/>
                <w:b w:val="0"/>
                <w:bCs w:val="0"/>
                <w:i w:val="0"/>
                <w:iCs w:val="0"/>
                <w:smallCaps w:val="0"/>
                <w:color w:val="666666"/>
              </w:rPr>
              <w:t>年</w:t>
            </w:r>
          </w:p>
        </w:tc>
      </w:tr>
      <w:tr>
        <w:tblPrEx>
          <w:tblW w:w="14325" w:type="dxa"/>
          <w:tblInd w:w="165" w:type="dxa"/>
          <w:tblCellMar>
            <w:top w:w="0" w:type="dxa"/>
            <w:left w:w="0" w:type="dxa"/>
            <w:bottom w:w="0" w:type="dxa"/>
            <w:right w:w="0" w:type="dxa"/>
          </w:tblCellMar>
        </w:tblPrEx>
        <w:tc>
          <w:tcPr>
            <w:tcW w:w="667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75"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英语、商务英语、德语、文化产业管理、财务管理（专升本）</w:t>
            </w:r>
          </w:p>
        </w:tc>
        <w:tc>
          <w:tcPr>
            <w:tcW w:w="20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7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rPr>
              <w:t>18000</w:t>
            </w:r>
            <w:r>
              <w:rPr>
                <w:rFonts w:ascii="SimSun" w:eastAsia="SimSun" w:hAnsi="SimSun" w:cs="SimSun"/>
                <w:b w:val="0"/>
                <w:bCs w:val="0"/>
                <w:i w:val="0"/>
                <w:iCs w:val="0"/>
                <w:smallCaps w:val="0"/>
                <w:color w:val="666666"/>
              </w:rPr>
              <w:t>元</w:t>
            </w:r>
            <w:r>
              <w:rPr>
                <w:rFonts w:ascii="Microsoft YaHei" w:eastAsia="Microsoft YaHei" w:hAnsi="Microsoft YaHei" w:cs="Microsoft YaHei"/>
                <w:b w:val="0"/>
                <w:bCs w:val="0"/>
                <w:i w:val="0"/>
                <w:iCs w:val="0"/>
                <w:smallCaps w:val="0"/>
                <w:color w:val="666666"/>
              </w:rPr>
              <w:t>/</w:t>
            </w:r>
            <w:r>
              <w:rPr>
                <w:rFonts w:ascii="SimSun" w:eastAsia="SimSun" w:hAnsi="SimSun" w:cs="SimSun"/>
                <w:b w:val="0"/>
                <w:bCs w:val="0"/>
                <w:i w:val="0"/>
                <w:iCs w:val="0"/>
                <w:smallCaps w:val="0"/>
                <w:color w:val="666666"/>
              </w:rPr>
              <w:t>生</w:t>
            </w:r>
            <w:r>
              <w:rPr>
                <w:rFonts w:ascii="Microsoft YaHei" w:eastAsia="Microsoft YaHei" w:hAnsi="Microsoft YaHei" w:cs="Microsoft YaHei"/>
                <w:b w:val="0"/>
                <w:bCs w:val="0"/>
                <w:i w:val="0"/>
                <w:iCs w:val="0"/>
                <w:smallCaps w:val="0"/>
                <w:color w:val="666666"/>
              </w:rPr>
              <w:t>•</w:t>
            </w:r>
            <w:r>
              <w:rPr>
                <w:rFonts w:ascii="SimSun" w:eastAsia="SimSun" w:hAnsi="SimSun" w:cs="SimSun"/>
                <w:b w:val="0"/>
                <w:bCs w:val="0"/>
                <w:i w:val="0"/>
                <w:iCs w:val="0"/>
                <w:smallCaps w:val="0"/>
                <w:color w:val="666666"/>
              </w:rPr>
              <w:t>年</w:t>
            </w:r>
          </w:p>
        </w:tc>
      </w:tr>
    </w:tbl>
    <w:p>
      <w:pPr>
        <w:pBdr>
          <w:top w:val="none" w:sz="0" w:space="0" w:color="auto"/>
          <w:left w:val="none" w:sz="0" w:space="0" w:color="auto"/>
          <w:bottom w:val="none" w:sz="0" w:space="0" w:color="auto"/>
          <w:right w:val="none" w:sz="0" w:space="0" w:color="auto"/>
        </w:pBdr>
        <w:spacing w:before="0" w:after="0" w:line="37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 </w:t>
      </w:r>
    </w:p>
    <w:p>
      <w:pPr>
        <w:pBdr>
          <w:top w:val="none" w:sz="0" w:space="0" w:color="auto"/>
          <w:left w:val="none" w:sz="0" w:space="0" w:color="auto"/>
          <w:bottom w:val="none" w:sz="0" w:space="0" w:color="auto"/>
          <w:right w:val="none" w:sz="0" w:space="0" w:color="auto"/>
        </w:pBdr>
        <w:spacing w:before="0" w:after="0" w:line="37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2</w:t>
      </w:r>
      <w:r>
        <w:rPr>
          <w:rFonts w:ascii="SimSun" w:eastAsia="SimSun" w:hAnsi="SimSun" w:cs="SimSun"/>
          <w:color w:val="666666"/>
        </w:rPr>
        <w:t>．住宿费  2500元/生·年，学校按照新生专业分布和实际房源情况统一安排住宿。</w:t>
      </w:r>
    </w:p>
    <w:p>
      <w:pPr>
        <w:pBdr>
          <w:top w:val="none" w:sz="0" w:space="0" w:color="auto"/>
          <w:left w:val="none" w:sz="0" w:space="0" w:color="auto"/>
          <w:bottom w:val="none" w:sz="0" w:space="0" w:color="auto"/>
          <w:right w:val="none" w:sz="0" w:space="0" w:color="auto"/>
        </w:pBdr>
        <w:spacing w:before="0" w:after="0" w:line="375" w:lineRule="atLeast"/>
        <w:ind w:left="0" w:right="0"/>
        <w:rPr>
          <w:rFonts w:ascii="Microsoft YaHei" w:eastAsia="Microsoft YaHei" w:hAnsi="Microsoft YaHei" w:cs="Microsoft YaHei"/>
          <w:color w:val="666666"/>
          <w:sz w:val="21"/>
          <w:szCs w:val="21"/>
        </w:rPr>
      </w:pPr>
      <w:r>
        <w:rPr>
          <w:rFonts w:ascii="Calibri" w:eastAsia="Calibri" w:hAnsi="Calibri" w:cs="Calibri"/>
          <w:color w:val="666666"/>
        </w:rPr>
        <w:t> </w:t>
      </w:r>
      <w:r>
        <w:rPr>
          <w:rFonts w:ascii="SimHei" w:eastAsia="SimHei" w:hAnsi="SimHei" w:cs="SimHei"/>
          <w:color w:val="666666"/>
        </w:rPr>
        <w:t>六、其他</w:t>
      </w:r>
    </w:p>
    <w:p>
      <w:pPr>
        <w:pBdr>
          <w:top w:val="none" w:sz="0" w:space="0" w:color="auto"/>
          <w:left w:val="none" w:sz="0" w:space="0" w:color="auto"/>
          <w:bottom w:val="none" w:sz="0" w:space="0" w:color="auto"/>
          <w:right w:val="none" w:sz="0" w:space="0" w:color="auto"/>
        </w:pBdr>
        <w:spacing w:before="0" w:after="0" w:line="375" w:lineRule="atLeast"/>
        <w:ind w:left="0" w:right="0" w:firstLine="480"/>
        <w:rPr>
          <w:rFonts w:ascii="Microsoft YaHei" w:eastAsia="Microsoft YaHei" w:hAnsi="Microsoft YaHei" w:cs="Microsoft YaHei"/>
          <w:color w:val="666666"/>
          <w:sz w:val="21"/>
          <w:szCs w:val="21"/>
        </w:rPr>
      </w:pPr>
      <w:r>
        <w:rPr>
          <w:rFonts w:ascii="Microsoft YaHei" w:eastAsia="Microsoft YaHei" w:hAnsi="Microsoft YaHei" w:cs="Microsoft YaHei"/>
          <w:color w:val="666666"/>
        </w:rPr>
        <w:t>1</w:t>
      </w:r>
      <w:r>
        <w:rPr>
          <w:rFonts w:ascii="SimSun" w:eastAsia="SimSun" w:hAnsi="SimSun" w:cs="SimSun"/>
          <w:color w:val="666666"/>
        </w:rPr>
        <w:t>．</w:t>
      </w:r>
      <w:r>
        <w:rPr>
          <w:rFonts w:ascii="SimSun" w:eastAsia="SimSun" w:hAnsi="SimSun" w:cs="SimSun"/>
          <w:color w:val="666666"/>
        </w:rPr>
        <w:t>为鼓励优秀考生报考我校，学校设有优秀本科新生奖学金。对我校</w:t>
      </w:r>
      <w:r>
        <w:rPr>
          <w:rFonts w:ascii="Microsoft YaHei" w:eastAsia="Microsoft YaHei" w:hAnsi="Microsoft YaHei" w:cs="Microsoft YaHei"/>
          <w:color w:val="666666"/>
        </w:rPr>
        <w:t>2019</w:t>
      </w:r>
      <w:r>
        <w:rPr>
          <w:rFonts w:ascii="SimSun" w:eastAsia="SimSun" w:hAnsi="SimSun" w:cs="SimSun"/>
          <w:color w:val="666666"/>
        </w:rPr>
        <w:t>年录取的浙江省普通类一段学生和其他省份的优秀学生，奖励</w:t>
      </w:r>
      <w:r>
        <w:rPr>
          <w:rFonts w:ascii="Microsoft YaHei" w:eastAsia="Microsoft YaHei" w:hAnsi="Microsoft YaHei" w:cs="Microsoft YaHei"/>
          <w:color w:val="666666"/>
        </w:rPr>
        <w:t>2</w:t>
      </w:r>
      <w:r>
        <w:rPr>
          <w:rFonts w:ascii="SimSun" w:eastAsia="SimSun" w:hAnsi="SimSun" w:cs="SimSun"/>
          <w:color w:val="666666"/>
        </w:rPr>
        <w:t>万元新生奖学金；特别优秀者奖励</w:t>
      </w:r>
      <w:r>
        <w:rPr>
          <w:rFonts w:ascii="Microsoft YaHei" w:eastAsia="Microsoft YaHei" w:hAnsi="Microsoft YaHei" w:cs="Microsoft YaHei"/>
          <w:color w:val="666666"/>
        </w:rPr>
        <w:t>5</w:t>
      </w:r>
      <w:r>
        <w:rPr>
          <w:rFonts w:ascii="SimSun" w:eastAsia="SimSun" w:hAnsi="SimSun" w:cs="SimSun"/>
          <w:color w:val="666666"/>
        </w:rPr>
        <w:t>万元新生奖学金。</w:t>
      </w:r>
    </w:p>
    <w:p>
      <w:pPr>
        <w:pBdr>
          <w:top w:val="none" w:sz="0" w:space="0" w:color="auto"/>
          <w:left w:val="none" w:sz="0" w:space="0" w:color="auto"/>
          <w:bottom w:val="none" w:sz="0" w:space="0" w:color="auto"/>
          <w:right w:val="none" w:sz="0" w:space="0" w:color="auto"/>
        </w:pBdr>
        <w:spacing w:before="0" w:after="0" w:line="375" w:lineRule="atLeast"/>
        <w:ind w:left="0" w:right="0" w:firstLine="480"/>
        <w:rPr>
          <w:rFonts w:ascii="Microsoft YaHei" w:eastAsia="Microsoft YaHei" w:hAnsi="Microsoft YaHei" w:cs="Microsoft YaHei"/>
          <w:color w:val="666666"/>
          <w:sz w:val="21"/>
          <w:szCs w:val="21"/>
        </w:rPr>
      </w:pPr>
      <w:r>
        <w:rPr>
          <w:rFonts w:ascii="Microsoft YaHei" w:eastAsia="Microsoft YaHei" w:hAnsi="Microsoft YaHei" w:cs="Microsoft YaHei"/>
          <w:color w:val="666666"/>
        </w:rPr>
        <w:t>2</w:t>
      </w:r>
      <w:r>
        <w:rPr>
          <w:rFonts w:ascii="SimSun" w:eastAsia="SimSun" w:hAnsi="SimSun" w:cs="SimSun"/>
          <w:color w:val="666666"/>
        </w:rPr>
        <w:t>．</w:t>
      </w:r>
      <w:r>
        <w:rPr>
          <w:rFonts w:ascii="SimSun" w:eastAsia="SimSun" w:hAnsi="SimSun" w:cs="SimSun"/>
          <w:color w:val="666666"/>
        </w:rPr>
        <w:t>学生除享有国家提供的各项奖、助学金外</w:t>
      </w:r>
      <w:r>
        <w:rPr>
          <w:rFonts w:ascii="SimSun" w:eastAsia="SimSun" w:hAnsi="SimSun" w:cs="SimSun"/>
          <w:color w:val="666666"/>
        </w:rPr>
        <w:t>，还</w:t>
      </w:r>
      <w:r>
        <w:rPr>
          <w:rFonts w:ascii="SimSun" w:eastAsia="SimSun" w:hAnsi="SimSun" w:cs="SimSun"/>
          <w:color w:val="666666"/>
        </w:rPr>
        <w:t>有校优秀学生奖学金，奖励在校学习优秀者。同时还设有多种专项奖学金。</w:t>
      </w:r>
    </w:p>
    <w:p>
      <w:pPr>
        <w:pBdr>
          <w:top w:val="none" w:sz="0" w:space="0" w:color="auto"/>
          <w:left w:val="none" w:sz="0" w:space="0" w:color="auto"/>
          <w:bottom w:val="none" w:sz="0" w:space="0" w:color="auto"/>
          <w:right w:val="none" w:sz="0" w:space="0" w:color="auto"/>
        </w:pBdr>
        <w:spacing w:before="0" w:after="0" w:line="375" w:lineRule="atLeast"/>
        <w:ind w:left="0" w:right="0" w:firstLine="480"/>
        <w:rPr>
          <w:rFonts w:ascii="Microsoft YaHei" w:eastAsia="Microsoft YaHei" w:hAnsi="Microsoft YaHei" w:cs="Microsoft YaHei"/>
          <w:color w:val="666666"/>
          <w:sz w:val="21"/>
          <w:szCs w:val="21"/>
        </w:rPr>
      </w:pPr>
      <w:r>
        <w:rPr>
          <w:rFonts w:ascii="Microsoft YaHei" w:eastAsia="Microsoft YaHei" w:hAnsi="Microsoft YaHei" w:cs="Microsoft YaHei"/>
          <w:color w:val="666666"/>
        </w:rPr>
        <w:t>3</w:t>
      </w:r>
      <w:r>
        <w:rPr>
          <w:rFonts w:ascii="SimSun" w:eastAsia="SimSun" w:hAnsi="SimSun" w:cs="SimSun"/>
          <w:color w:val="666666"/>
        </w:rPr>
        <w:t>．</w:t>
      </w:r>
      <w:r>
        <w:rPr>
          <w:rFonts w:ascii="SimSun" w:eastAsia="SimSun" w:hAnsi="SimSun" w:cs="SimSun"/>
          <w:color w:val="666666"/>
        </w:rPr>
        <w:t>学</w:t>
      </w:r>
      <w:r>
        <w:rPr>
          <w:rFonts w:ascii="SimSun" w:eastAsia="SimSun" w:hAnsi="SimSun" w:cs="SimSun"/>
          <w:color w:val="666666"/>
        </w:rPr>
        <w:t>校</w:t>
      </w:r>
      <w:r>
        <w:rPr>
          <w:rFonts w:ascii="SimSun" w:eastAsia="SimSun" w:hAnsi="SimSun" w:cs="SimSun"/>
          <w:color w:val="666666"/>
        </w:rPr>
        <w:t>向学有余力的学生提供一定数量的勤工助学岗位，经济困难的学生可优先申请。</w:t>
      </w:r>
    </w:p>
    <w:p>
      <w:pPr>
        <w:pBdr>
          <w:top w:val="none" w:sz="0" w:space="0" w:color="auto"/>
          <w:left w:val="none" w:sz="0" w:space="0" w:color="auto"/>
          <w:bottom w:val="none" w:sz="0" w:space="0" w:color="auto"/>
          <w:right w:val="none" w:sz="0" w:space="0" w:color="auto"/>
        </w:pBdr>
        <w:spacing w:before="0" w:after="0" w:line="375" w:lineRule="atLeast"/>
        <w:ind w:left="0" w:right="0" w:firstLine="480"/>
        <w:rPr>
          <w:rFonts w:ascii="Microsoft YaHei" w:eastAsia="Microsoft YaHei" w:hAnsi="Microsoft YaHei" w:cs="Microsoft YaHei"/>
          <w:color w:val="666666"/>
          <w:sz w:val="21"/>
          <w:szCs w:val="21"/>
        </w:rPr>
      </w:pPr>
      <w:r>
        <w:rPr>
          <w:rFonts w:ascii="SimHei" w:eastAsia="SimHei" w:hAnsi="SimHei" w:cs="SimHei"/>
          <w:color w:val="666666"/>
        </w:rPr>
        <w:t>七、</w:t>
      </w:r>
      <w:r>
        <w:rPr>
          <w:rFonts w:ascii="SimHei" w:eastAsia="SimHei" w:hAnsi="SimHei" w:cs="SimHei"/>
          <w:color w:val="666666"/>
        </w:rPr>
        <w:t>招生咨询、联系方式</w:t>
      </w:r>
    </w:p>
    <w:p>
      <w:pPr>
        <w:pBdr>
          <w:top w:val="none" w:sz="0" w:space="0" w:color="auto"/>
          <w:left w:val="none" w:sz="0" w:space="0" w:color="auto"/>
          <w:bottom w:val="none" w:sz="0" w:space="0" w:color="auto"/>
          <w:right w:val="none" w:sz="0" w:space="0" w:color="auto"/>
        </w:pBdr>
        <w:spacing w:before="0" w:after="0" w:line="37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地址：浙江省</w:t>
      </w:r>
      <w:r>
        <w:rPr>
          <w:rFonts w:ascii="SimSun" w:eastAsia="SimSun" w:hAnsi="SimSun" w:cs="SimSun"/>
          <w:color w:val="666666"/>
        </w:rPr>
        <w:t>嘉兴市</w:t>
      </w:r>
      <w:r>
        <w:rPr>
          <w:rFonts w:ascii="SimSun" w:eastAsia="SimSun" w:hAnsi="SimSun" w:cs="SimSun"/>
          <w:color w:val="666666"/>
        </w:rPr>
        <w:t>商务大道</w:t>
      </w:r>
      <w:r>
        <w:rPr>
          <w:rFonts w:ascii="Microsoft YaHei" w:eastAsia="Microsoft YaHei" w:hAnsi="Microsoft YaHei" w:cs="Microsoft YaHei"/>
          <w:color w:val="666666"/>
        </w:rPr>
        <w:t> 168</w:t>
      </w:r>
      <w:r>
        <w:rPr>
          <w:rFonts w:ascii="SimSun" w:eastAsia="SimSun" w:hAnsi="SimSun" w:cs="SimSun"/>
          <w:color w:val="666666"/>
        </w:rPr>
        <w:t>号</w:t>
      </w:r>
    </w:p>
    <w:p>
      <w:pPr>
        <w:pBdr>
          <w:top w:val="none" w:sz="0" w:space="0" w:color="auto"/>
          <w:left w:val="none" w:sz="0" w:space="0" w:color="auto"/>
          <w:bottom w:val="none" w:sz="0" w:space="0" w:color="auto"/>
          <w:right w:val="none" w:sz="0" w:space="0" w:color="auto"/>
        </w:pBdr>
        <w:spacing w:before="0" w:after="0" w:line="37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邮编：</w:t>
      </w:r>
      <w:r>
        <w:rPr>
          <w:rFonts w:ascii="Microsoft YaHei" w:eastAsia="Microsoft YaHei" w:hAnsi="Microsoft YaHei" w:cs="Microsoft YaHei"/>
          <w:color w:val="666666"/>
        </w:rPr>
        <w:t>314051</w:t>
      </w:r>
    </w:p>
    <w:p>
      <w:pPr>
        <w:pBdr>
          <w:top w:val="none" w:sz="0" w:space="0" w:color="auto"/>
          <w:left w:val="none" w:sz="0" w:space="0" w:color="auto"/>
          <w:bottom w:val="none" w:sz="0" w:space="0" w:color="auto"/>
          <w:right w:val="none" w:sz="0" w:space="0" w:color="auto"/>
        </w:pBdr>
        <w:spacing w:before="0" w:after="0" w:line="37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电话：</w:t>
      </w:r>
      <w:r>
        <w:rPr>
          <w:rFonts w:ascii="Microsoft YaHei" w:eastAsia="Microsoft YaHei" w:hAnsi="Microsoft YaHei" w:cs="Microsoft YaHei"/>
          <w:color w:val="666666"/>
        </w:rPr>
        <w:t>0573-82878536    0573-82878529</w:t>
      </w:r>
    </w:p>
    <w:p>
      <w:pPr>
        <w:pBdr>
          <w:top w:val="none" w:sz="0" w:space="0" w:color="auto"/>
          <w:left w:val="none" w:sz="0" w:space="0" w:color="auto"/>
          <w:bottom w:val="none" w:sz="0" w:space="0" w:color="auto"/>
          <w:right w:val="none" w:sz="0" w:space="0" w:color="auto"/>
        </w:pBdr>
        <w:spacing w:before="0" w:after="0" w:line="37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传真：</w:t>
      </w:r>
      <w:r>
        <w:rPr>
          <w:rFonts w:ascii="Microsoft YaHei" w:eastAsia="Microsoft YaHei" w:hAnsi="Microsoft YaHei" w:cs="Microsoft YaHei"/>
          <w:color w:val="666666"/>
        </w:rPr>
        <w:t>0573-82316672</w:t>
      </w:r>
    </w:p>
    <w:p>
      <w:pPr>
        <w:pBdr>
          <w:top w:val="none" w:sz="0" w:space="0" w:color="auto"/>
          <w:left w:val="none" w:sz="0" w:space="0" w:color="auto"/>
          <w:bottom w:val="none" w:sz="0" w:space="0" w:color="auto"/>
          <w:right w:val="none" w:sz="0" w:space="0" w:color="auto"/>
        </w:pBdr>
        <w:spacing w:before="0" w:after="0" w:line="375" w:lineRule="atLeast"/>
        <w:ind w:left="0" w:right="0" w:firstLine="480"/>
        <w:rPr>
          <w:rFonts w:ascii="Microsoft YaHei" w:eastAsia="Microsoft YaHei" w:hAnsi="Microsoft YaHei" w:cs="Microsoft YaHei"/>
          <w:color w:val="666666"/>
          <w:sz w:val="21"/>
          <w:szCs w:val="21"/>
        </w:rPr>
      </w:pPr>
      <w:r>
        <w:rPr>
          <w:rFonts w:ascii="Microsoft YaHei" w:eastAsia="Microsoft YaHei" w:hAnsi="Microsoft YaHei" w:cs="Microsoft YaHei"/>
          <w:color w:val="666666"/>
        </w:rPr>
        <w:t>E-mail</w:t>
      </w:r>
      <w:r>
        <w:rPr>
          <w:rFonts w:ascii="SimSun" w:eastAsia="SimSun" w:hAnsi="SimSun" w:cs="SimSun"/>
          <w:color w:val="666666"/>
        </w:rPr>
        <w:t>：</w:t>
      </w:r>
      <w:hyperlink r:id="rId4" w:history="1">
        <w:r>
          <w:rPr>
            <w:color w:val="000000"/>
            <w:sz w:val="21"/>
            <w:szCs w:val="21"/>
            <w:u w:val="single" w:color="666666"/>
          </w:rPr>
          <w:t>zjxyzsb@tongji.edu.cn</w:t>
        </w:r>
      </w:hyperlink>
      <w:r>
        <w:rPr>
          <w:rFonts w:ascii="Microsoft YaHei" w:eastAsia="Microsoft YaHei" w:hAnsi="Microsoft YaHei" w:cs="Microsoft YaHei"/>
          <w:color w:val="666666"/>
        </w:rPr>
        <w:t>     </w:t>
      </w:r>
    </w:p>
    <w:p>
      <w:pPr>
        <w:pBdr>
          <w:top w:val="none" w:sz="0" w:space="0" w:color="auto"/>
          <w:left w:val="none" w:sz="0" w:space="0" w:color="auto"/>
          <w:bottom w:val="none" w:sz="0" w:space="0" w:color="auto"/>
          <w:right w:val="none" w:sz="0" w:space="0" w:color="auto"/>
        </w:pBdr>
        <w:spacing w:before="0" w:after="0" w:line="37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网址：</w:t>
      </w:r>
      <w:r>
        <w:rPr>
          <w:rFonts w:ascii="Microsoft YaHei" w:eastAsia="Microsoft YaHei" w:hAnsi="Microsoft YaHei" w:cs="Microsoft YaHei"/>
          <w:color w:val="666666"/>
        </w:rPr>
        <w:t>http://www.tjzj.edu.cn</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浙江汽车职业技术学院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浙江外国语学院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浙江大学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年自强计划招生简章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浙江外国语学院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艺术类专业招生章程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浙江外国语学院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年艺术类专业招生章程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招生计划及收费</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浙江理工大学纺织科学与工程学院（国际丝绸学院）持续推进科研创新实践训练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浙江海洋大学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三位一体</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综合评价招生章程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杭州电子科技大学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zhejiang/2022/0220/21752.html" TargetMode="External" /><Relationship Id="rId11" Type="http://schemas.openxmlformats.org/officeDocument/2006/relationships/hyperlink" Target="http://www.gk114.com/a/gxzs/zszc/zhejiang/2021/0629/20148.html" TargetMode="External" /><Relationship Id="rId12" Type="http://schemas.openxmlformats.org/officeDocument/2006/relationships/hyperlink" Target="http://www.gk114.com/a/gxzs/zszc/zhejiang/2021/0610/19817.html" TargetMode="External" /><Relationship Id="rId13" Type="http://schemas.openxmlformats.org/officeDocument/2006/relationships/hyperlink" Target="http://www.gk114.com/a/gxzs/zszc/zhejiang/2021/0610/19816.html" TargetMode="External" /><Relationship Id="rId14" Type="http://schemas.openxmlformats.org/officeDocument/2006/relationships/hyperlink" Target="http://www.gk114.com/a/gxzs/zszc/zhejiang/2021/0602/19682.html" TargetMode="External" /><Relationship Id="rId15" Type="http://schemas.openxmlformats.org/officeDocument/2006/relationships/hyperlink" Target="http://www.gk114.com/a/gxzs/zszc/zhejiang/2021/0308/18834.html" TargetMode="External" /><Relationship Id="rId16" Type="http://schemas.openxmlformats.org/officeDocument/2006/relationships/hyperlink" Target="http://www.gk114.com/a/gxzs/zszc/zhejiang/2021/0308/18833.html" TargetMode="External" /><Relationship Id="rId17" Type="http://schemas.openxmlformats.org/officeDocument/2006/relationships/hyperlink" Target="http://www.gk114.com/a/gxzs/zszc/zhejiang/2020/0627/16994.html" TargetMode="External" /><Relationship Id="rId18" Type="http://schemas.openxmlformats.org/officeDocument/2006/relationships/hyperlink" Target="http://www.gk114.com/a/gxzs/zszc/zhejiang/2019/0222/6604.html" TargetMode="External" /><Relationship Id="rId19" Type="http://schemas.openxmlformats.org/officeDocument/2006/relationships/hyperlink" Target="http://www.gk114.com/a/gxzs/zszc/zhejiang/2019/0222/6618.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mailto:zjxyzsb@tongji.edu.cn" TargetMode="External" /><Relationship Id="rId5" Type="http://schemas.openxmlformats.org/officeDocument/2006/relationships/hyperlink" Target="http://www.gk114.com/a/gxzs/zszc/zhejiang/2019/0630/10425.html" TargetMode="External" /><Relationship Id="rId6" Type="http://schemas.openxmlformats.org/officeDocument/2006/relationships/hyperlink" Target="http://www.gk114.com/a/gxzs/zszc/zhejiang/2019/0630/10427.html" TargetMode="External" /><Relationship Id="rId7" Type="http://schemas.openxmlformats.org/officeDocument/2006/relationships/hyperlink" Target="http://www.gk114.com/a/gxzs/zszc/zhejiang/" TargetMode="External" /><Relationship Id="rId8" Type="http://schemas.openxmlformats.org/officeDocument/2006/relationships/hyperlink" Target="http://www.gk114.com/a/gxzs/zszc/zhejiang/2022/0417/22173.html" TargetMode="External" /><Relationship Id="rId9" Type="http://schemas.openxmlformats.org/officeDocument/2006/relationships/hyperlink" Target="http://www.gk114.com/a/gxzs/zszc/zhejiang/2022/0303/2180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