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同济大学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为全面贯彻全国教育大会精神，深入落实《国务院关于深化考试招生制度改革的实施意见》，根据教育部《关于在部分高校开展基础学科招生改革试点工作的意见》等文件精神，服务国家重大战略需求，加强拔尖创新人才选拔培养，同济大学2022年继续开展基础学科招生改革试点（以下简称“强基计划”）。选拔一批心怀使命、志趣高远、天资出众的青年学生，强化基础学科、强化创新素养，培养成为国家急需的未来战略科学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符合2022年全国普通高等学校招生全国统一考试报名条件，综合素质优秀或基础学科拔尖，并有志于将来从事相关领域科学技术工作的高中毕业生均可申请报名，申请报名考生分为以下两类：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第一类考生：高考成绩优异且综合素质优秀的考生。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第二类考生：相关学科领域具有突出才能和表现的考生。高中阶段须在数学、物理、化学、生物学、信息学任一学科奥林匹克竞赛中获得全国决赛二等及以上奖项。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我校强基计划招生专业见下表：</w:t>
      </w:r>
    </w:p>
    <w:tbl>
      <w:tblPr>
        <w:tblW w:w="5000" w:type="pct"/>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977"/>
        <w:gridCol w:w="1917"/>
        <w:gridCol w:w="4317"/>
        <w:gridCol w:w="1437"/>
        <w:gridCol w:w="2165"/>
      </w:tblGrid>
      <w:tr>
        <w:tblPrEx>
          <w:tblW w:w="5000" w:type="pct"/>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c>
          <w:tcPr>
            <w:tcW w:w="1440" w:type="dxa"/>
            <w:vMerge w:val="restart"/>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000000"/>
              </w:rPr>
              <w:t>专业组</w:t>
            </w:r>
          </w:p>
        </w:tc>
        <w:tc>
          <w:tcPr>
            <w:tcW w:w="2188" w:type="dxa"/>
            <w:vMerge w:val="restart"/>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000000"/>
              </w:rPr>
              <w:t>招生专业</w:t>
            </w:r>
          </w:p>
        </w:tc>
        <w:tc>
          <w:tcPr>
            <w:tcW w:w="4122" w:type="dxa"/>
            <w:gridSpan w:val="2"/>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000000"/>
              </w:rPr>
              <w:t>高考综合改革省份</w:t>
            </w:r>
          </w:p>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000000"/>
              </w:rPr>
              <w:t>选考科目要求</w:t>
            </w:r>
          </w:p>
        </w:tc>
        <w:tc>
          <w:tcPr>
            <w:tcW w:w="1438" w:type="dxa"/>
            <w:vMerge w:val="restart"/>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000000"/>
              </w:rPr>
              <w:t>其他省份科类要求</w:t>
            </w:r>
          </w:p>
        </w:tc>
      </w:tr>
      <w:tr>
        <w:tblPrEx>
          <w:tblW w:w="5000" w:type="pct"/>
          <w:tblInd w:w="120" w:type="dxa"/>
          <w:tblCellMar>
            <w:top w:w="0" w:type="dxa"/>
            <w:left w:w="0" w:type="dxa"/>
            <w:bottom w:w="0" w:type="dxa"/>
            <w:right w:w="0" w:type="dxa"/>
          </w:tblCellMar>
        </w:tblPrEx>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bCs/>
                <w:i w:val="0"/>
                <w:iCs w:val="0"/>
                <w:smallCaps w:val="0"/>
                <w:color w:val="000000"/>
              </w:rPr>
            </w:pPr>
          </w:p>
        </w:tc>
        <w:tc>
          <w:tcPr>
            <w:vMerge/>
            <w:tcBorders>
              <w:top w:val="single" w:sz="6" w:space="0" w:color="000000"/>
              <w:bottom w:val="single" w:sz="6" w:space="0" w:color="000000"/>
              <w:right w:val="single" w:sz="6" w:space="0" w:color="000000"/>
            </w:tcBorders>
            <w:vAlign w:val="center"/>
            <w:hideMark/>
          </w:tcPr>
          <w:p>
            <w:pPr>
              <w:rPr>
                <w:rFonts w:ascii="SimSun" w:eastAsia="SimSun" w:hAnsi="SimSun" w:cs="SimSun"/>
                <w:b/>
                <w:bCs/>
                <w:i w:val="0"/>
                <w:iCs w:val="0"/>
                <w:smallCaps w:val="0"/>
                <w:color w:val="000000"/>
              </w:rPr>
            </w:pPr>
          </w:p>
        </w:tc>
        <w:tc>
          <w:tcPr>
            <w:tcW w:w="271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000000"/>
              </w:rPr>
              <w:t>3+1+2</w:t>
            </w:r>
            <w:r>
              <w:rPr>
                <w:rFonts w:ascii="SimSun" w:eastAsia="SimSun" w:hAnsi="SimSun" w:cs="SimSun"/>
                <w:b/>
                <w:bCs/>
                <w:i w:val="0"/>
                <w:iCs w:val="0"/>
                <w:smallCaps w:val="0"/>
                <w:color w:val="000000"/>
              </w:rPr>
              <w:t>模式</w:t>
            </w:r>
          </w:p>
        </w:tc>
        <w:tc>
          <w:tcPr>
            <w:tcW w:w="164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000000"/>
              </w:rPr>
              <w:t>3+3</w:t>
            </w:r>
            <w:r>
              <w:rPr>
                <w:rFonts w:ascii="SimSun" w:eastAsia="SimSun" w:hAnsi="SimSun" w:cs="SimSun"/>
                <w:b/>
                <w:bCs/>
                <w:i w:val="0"/>
                <w:iCs w:val="0"/>
                <w:smallCaps w:val="0"/>
                <w:color w:val="000000"/>
              </w:rPr>
              <w:t>模式</w:t>
            </w:r>
          </w:p>
        </w:tc>
        <w:tc>
          <w:tcPr>
            <w:vMerge/>
            <w:tcBorders>
              <w:top w:val="single" w:sz="6" w:space="0" w:color="000000"/>
              <w:bottom w:val="single" w:sz="6" w:space="0" w:color="000000"/>
              <w:right w:val="single" w:sz="6" w:space="0" w:color="000000"/>
            </w:tcBorders>
            <w:vAlign w:val="center"/>
            <w:hideMark/>
          </w:tcPr>
          <w:p>
            <w:pPr>
              <w:rPr>
                <w:rFonts w:ascii="SimSun" w:eastAsia="SimSun" w:hAnsi="SimSun" w:cs="SimSun"/>
                <w:b/>
                <w:bCs/>
                <w:i w:val="0"/>
                <w:iCs w:val="0"/>
                <w:smallCaps w:val="0"/>
                <w:color w:val="000000"/>
              </w:rPr>
            </w:pPr>
          </w:p>
        </w:tc>
      </w:tr>
      <w:tr>
        <w:tblPrEx>
          <w:tblW w:w="5000" w:type="pct"/>
          <w:tblInd w:w="120" w:type="dxa"/>
          <w:tblCellMar>
            <w:top w:w="0" w:type="dxa"/>
            <w:left w:w="0" w:type="dxa"/>
            <w:bottom w:w="0" w:type="dxa"/>
            <w:right w:w="0" w:type="dxa"/>
          </w:tblCellMar>
        </w:tblPrEx>
        <w:trPr>
          <w:trHeight w:val="225"/>
        </w:trPr>
        <w:tc>
          <w:tcPr>
            <w:tcW w:w="1440" w:type="dxa"/>
            <w:vMerge w:val="restart"/>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专业</w:t>
            </w:r>
          </w:p>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组1</w:t>
            </w:r>
          </w:p>
        </w:tc>
        <w:tc>
          <w:tcPr>
            <w:tcW w:w="218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数学与应用数学</w:t>
            </w:r>
          </w:p>
        </w:tc>
        <w:tc>
          <w:tcPr>
            <w:tcW w:w="2712" w:type="dxa"/>
            <w:vMerge w:val="restart"/>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首选科目物理，再选科目不提科目要求</w:t>
            </w:r>
          </w:p>
        </w:tc>
        <w:tc>
          <w:tcPr>
            <w:tcW w:w="1648" w:type="dxa"/>
            <w:vMerge w:val="restart"/>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物理</w:t>
            </w:r>
          </w:p>
        </w:tc>
        <w:tc>
          <w:tcPr>
            <w:tcW w:w="1438" w:type="dxa"/>
            <w:vMerge w:val="restart"/>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理科</w:t>
            </w:r>
          </w:p>
        </w:tc>
      </w:tr>
      <w:tr>
        <w:tblPrEx>
          <w:tblW w:w="5000" w:type="pct"/>
          <w:tblInd w:w="120" w:type="dxa"/>
          <w:tblCellMar>
            <w:top w:w="0" w:type="dxa"/>
            <w:left w:w="0" w:type="dxa"/>
            <w:bottom w:w="0" w:type="dxa"/>
            <w:right w:w="0" w:type="dxa"/>
          </w:tblCellMar>
        </w:tblPrEx>
        <w:trPr>
          <w:trHeight w:val="225"/>
        </w:trPr>
        <w:tc>
          <w:tcPr>
            <w:vMerge/>
            <w:tcBorders>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218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应用物理学</w:t>
            </w: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5000" w:type="pct"/>
          <w:tblInd w:w="120" w:type="dxa"/>
          <w:tblCellMar>
            <w:top w:w="0" w:type="dxa"/>
            <w:left w:w="0" w:type="dxa"/>
            <w:bottom w:w="0" w:type="dxa"/>
            <w:right w:w="0" w:type="dxa"/>
          </w:tblCellMar>
        </w:tblPrEx>
        <w:trPr>
          <w:trHeight w:val="225"/>
        </w:trPr>
        <w:tc>
          <w:tcPr>
            <w:vMerge/>
            <w:tcBorders>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218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工程力学</w:t>
            </w: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5000" w:type="pct"/>
          <w:tblInd w:w="120" w:type="dxa"/>
          <w:tblCellMar>
            <w:top w:w="0" w:type="dxa"/>
            <w:left w:w="0" w:type="dxa"/>
            <w:bottom w:w="0" w:type="dxa"/>
            <w:right w:w="0" w:type="dxa"/>
          </w:tblCellMar>
        </w:tblPrEx>
        <w:tc>
          <w:tcPr>
            <w:tcW w:w="1440" w:type="dxa"/>
            <w:vMerge w:val="restart"/>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专业</w:t>
            </w:r>
          </w:p>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组2</w:t>
            </w:r>
          </w:p>
        </w:tc>
        <w:tc>
          <w:tcPr>
            <w:tcW w:w="218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应用化学</w:t>
            </w:r>
          </w:p>
        </w:tc>
        <w:tc>
          <w:tcPr>
            <w:tcW w:w="271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首选科目物理，再选科目化学</w:t>
            </w:r>
          </w:p>
        </w:tc>
        <w:tc>
          <w:tcPr>
            <w:tcW w:w="164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物理</w:t>
            </w:r>
          </w:p>
        </w:tc>
        <w:tc>
          <w:tcPr>
            <w:tcW w:w="1438" w:type="dxa"/>
            <w:vMerge w:val="restart"/>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理科</w:t>
            </w:r>
          </w:p>
        </w:tc>
      </w:tr>
      <w:tr>
        <w:tblPrEx>
          <w:tblW w:w="5000" w:type="pct"/>
          <w:tblInd w:w="120" w:type="dxa"/>
          <w:tblCellMar>
            <w:top w:w="0" w:type="dxa"/>
            <w:left w:w="0" w:type="dxa"/>
            <w:bottom w:w="0" w:type="dxa"/>
            <w:right w:w="0" w:type="dxa"/>
          </w:tblCellMar>
        </w:tblPrEx>
        <w:tc>
          <w:tcPr>
            <w:vMerge/>
            <w:tcBorders>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218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生物技术</w:t>
            </w:r>
          </w:p>
        </w:tc>
        <w:tc>
          <w:tcPr>
            <w:tcW w:w="271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首选科目物理，再选科目化学或生物</w:t>
            </w:r>
          </w:p>
        </w:tc>
        <w:tc>
          <w:tcPr>
            <w:tcW w:w="164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化学和生物</w:t>
            </w: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我校强基计划招生的分省计划见报名系统。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高考综合改革省份考生的选考科目须符合我校招生专业对选考科目的要求。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报考我校强基计划的考生不能兼报其他高校强基计划。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4</w:t>
      </w:r>
      <w:r>
        <w:rPr>
          <w:rFonts w:ascii="Microsoft YaHei" w:eastAsia="Microsoft YaHei" w:hAnsi="Microsoft YaHei" w:cs="Microsoft YaHei"/>
          <w:color w:val="666666"/>
        </w:rPr>
        <w:t>月10日至30日，考生可登录同济大学强基计划报名平台（网址：https://bm.chsi.com.cn/jcxkzs/sch/10247），按要求准确、完整地完成网上报名。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第一类考生选择一个专业组填报，最多填报组内所有专业，并选择是否服从组内调剂。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第二类考生报考专业不受分省专业计划限制，选择一个专业组填报，</w:t>
      </w:r>
      <w:r>
        <w:rPr>
          <w:rFonts w:ascii="Microsoft YaHei" w:eastAsia="Microsoft YaHei" w:hAnsi="Microsoft YaHei" w:cs="Microsoft YaHei"/>
          <w:color w:val="666666"/>
        </w:rPr>
        <w:t>最多填报组内所有专业，并选择是否服从组内调剂。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（二）考生参加全国统一高考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（三）考生确认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6</w:t>
      </w:r>
      <w:r>
        <w:rPr>
          <w:rFonts w:ascii="Microsoft YaHei" w:eastAsia="Microsoft YaHei" w:hAnsi="Microsoft YaHei" w:cs="Microsoft YaHei"/>
          <w:color w:val="666666"/>
        </w:rPr>
        <w:t>月12日至6月20日，所有报名考生需进入系统完成考生确认环节。考生须在规定时间内完成确认，未在规定时间内完成确认者视为自动放弃强基计划考核资格，相关后果由考生本人承担。对于确认参加学校考核又无故放弃的考生，将通报生源省份考试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（四）入围学校考核办法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6</w:t>
      </w:r>
      <w:r>
        <w:rPr>
          <w:rFonts w:ascii="Microsoft YaHei" w:eastAsia="Microsoft YaHei" w:hAnsi="Microsoft YaHei" w:cs="Microsoft YaHei"/>
          <w:color w:val="666666"/>
        </w:rPr>
        <w:t>月下旬（具体时间另行公布），按以下办法确定入围学校考核的考生名单。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第一类考生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按我校在生源所在省份分专业组招生计划数的4倍，以确认参加考核考生高考成绩（不含高考加分，下同）从高到低，确定各省份各专业组参加学校考核考生名单（在高考成绩相同的情况下，依次以数学、语文、外语成绩高低排序），并按照要求公示各专业组入围标准。同时，考生高考成绩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）实施高考综合改革省份的考生高考成绩需达到该省份确定的相应最低录取控制分数线上40分及以上（其中高考满分非750分制的省份按比例折算）。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）其他省份达到生源所在省份本科一批录取最低控制分数线上80分及以上(对于合并录取批次的省份，本科一批录取最低控制分数线按照该省份确定的相应最低录取控制分数线执行)。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第二类考生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确认参加考核考生高考成绩达到生源所在省份本科一批录取最低控制分数线（对于合并录取批次和实施高考综合改革的省份，本科一批录取最低控制分数线按照该省份确定的相应最低录取控制分数线执行），即可入围学校考核。此类考生入围数量不受分省分专业计划限制，不占用各省第一类考生的入围名额。我校将按照要求公示此类入围考生的所获奖项及入围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（五）学校考核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我校将于6月底（具体时间另行公布）对入围考生进行考核（含面试和体育测试）。具体时间、地点及要求以准考证信息为准。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1. </w:t>
      </w:r>
      <w:r>
        <w:rPr>
          <w:rFonts w:ascii="Microsoft YaHei" w:eastAsia="Microsoft YaHei" w:hAnsi="Microsoft YaHei" w:cs="Microsoft YaHei"/>
          <w:color w:val="666666"/>
        </w:rPr>
        <w:t>面试：由多学科专家组成专家组，根据考生报考专业组进行面试。考生的高中生综合素质档案评审纳入面试考核环节。面试采取专家、考生“双随机”抽签的方式，测试全程录音录像。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第二类考生根据学科特长组织相关专家单独面试。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2. </w:t>
      </w:r>
      <w:r>
        <w:rPr>
          <w:rFonts w:ascii="Microsoft YaHei" w:eastAsia="Microsoft YaHei" w:hAnsi="Microsoft YaHei" w:cs="Microsoft YaHei"/>
          <w:color w:val="666666"/>
        </w:rPr>
        <w:t>体育测试：测试项目为立定跳远或50米跑（二选一），考生按照报名时选定的项目参加测试。考生需提前在当地保险公司购买测试期间个人“人身意外伤害保险”，保险期间涵盖来校测试全部时段（未购买者，测试过程中发生意外自行承担所有责任）。测试按照《国家学生体质健康标准》（详见附件）中高三年级相应标准评定成绩，成绩达到60分及以上为合格、低于60分为不合格，不合格的考生不能获得我校强基计划拟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因身体原因不能参加体育测试的考生，须提供三级甲等医院病历以及所在中学开具的不能参加体育测试的证明（须由中学校长签字及学校盖章），并且在新生复查阶段进行补测，如不通过，将取消入学资格。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未参加学校考核的考生不能获得我校强基计划拟录取资格。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1. </w:t>
      </w:r>
      <w:r>
        <w:rPr>
          <w:rFonts w:ascii="Microsoft YaHei" w:eastAsia="Microsoft YaHei" w:hAnsi="Microsoft YaHei" w:cs="Microsoft YaHei"/>
          <w:color w:val="666666"/>
        </w:rPr>
        <w:t>综合成绩计算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我校按照考生高考成绩占比85%，学校考核成绩占比15%折算考生的综合成绩。</w:t>
      </w:r>
      <w:r>
        <w:rPr>
          <w:rFonts w:ascii="Microsoft YaHei" w:eastAsia="Microsoft YaHei" w:hAnsi="Microsoft YaHei" w:cs="Microsoft YaHei"/>
          <w:color w:val="666666"/>
        </w:rPr>
        <w:t>学校考核成绩为面试成绩。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综合成绩=（高考成绩/高考成绩满分）×850+（学校考核成绩/学校考核成绩满分）×150。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2. </w:t>
      </w:r>
      <w:r>
        <w:rPr>
          <w:rFonts w:ascii="Microsoft YaHei" w:eastAsia="Microsoft YaHei" w:hAnsi="Microsoft YaHei" w:cs="Microsoft YaHei"/>
          <w:color w:val="666666"/>
        </w:rPr>
        <w:t>确定第一类考生拟录取名单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一类考生，根据分省分专业招生计划，以考生综合成绩从高到低，按照“分数优先、遵循志愿”的原则进行专业录取，额满为止。高考综合改革省份的考生，专业组内专业调剂时必须符合调剂专业的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考生综合成绩相同时，以高考成绩高低为录取顺序，高考成绩也相同时，</w:t>
      </w:r>
      <w:r>
        <w:rPr>
          <w:rFonts w:ascii="Microsoft YaHei" w:eastAsia="Microsoft YaHei" w:hAnsi="Microsoft YaHei" w:cs="Microsoft YaHei"/>
          <w:color w:val="666666"/>
        </w:rPr>
        <w:t>依次以高考数学、语文、外语成绩高低为录取顺序。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当拟录取考生数少于分省分专业计划数出现缺额时，不再递补。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3. </w:t>
      </w:r>
      <w:r>
        <w:rPr>
          <w:rFonts w:ascii="Microsoft YaHei" w:eastAsia="Microsoft YaHei" w:hAnsi="Microsoft YaHei" w:cs="Microsoft YaHei"/>
          <w:color w:val="666666"/>
        </w:rPr>
        <w:t>确定第二类考生拟录取名单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二类考生，综合成绩达到同省份相同专业组第一类录取考生的综合成绩最低分者，予以认定，其录取专业参考综合成绩和竞赛成绩。若该省份无相同专业组录取的第一类考生，则综合成绩需达到同省份第一类录取考生的综合成绩最低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我校将于7月5日前确定录取考生名单并公示录取标准，同时提交生源所在省级招办办理录取手续。</w:t>
      </w:r>
      <w:r>
        <w:rPr>
          <w:rFonts w:ascii="Microsoft YaHei" w:eastAsia="Microsoft YaHei" w:hAnsi="Microsoft YaHei" w:cs="Microsoft YaHei"/>
          <w:color w:val="666666"/>
        </w:rPr>
        <w:t>被录取的考生不再参加后续高考志愿录取；未被录取的考生可正常参加后续各批次高考志愿录取。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四、培养特色</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面向国际前沿，面向国家战略，培养拔尖创新人才。瞄准智能科技、先进制造、数字城市等国家重大战略需求，培养通识教育与专业教育相融合、厚重理科基础与坚实医工科基础相衔接、且有志于在人工智能、智能制造、智能建造、基础医学等领域取得突破的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汇聚优质资源，设立国豪学堂，构筑个性发展空间。因材施教，配备一对一的高水平导师和导学团队，营造一流的书院式成才环境与学术氛围；科教融合，依托高端实验室、尖端研究团队、重大科研项目，培养学术自信；开放交流，通过国际课程、联合设计、海外实习、暑期营、国际会议、国际竞赛等多形式融入国际主流教育，拓展国际视野，培养全球胜任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改革人才培养，突破专业边界，优化本研衔接机制。实施强化基础</w:t>
      </w:r>
      <w:r>
        <w:rPr>
          <w:rFonts w:ascii="Microsoft YaHei" w:eastAsia="Microsoft YaHei" w:hAnsi="Microsoft YaHei" w:cs="Microsoft YaHei"/>
          <w:color w:val="666666"/>
        </w:rPr>
        <w:t>的</w:t>
      </w:r>
      <w:r>
        <w:rPr>
          <w:rFonts w:ascii="Microsoft YaHei" w:eastAsia="Microsoft YaHei" w:hAnsi="Microsoft YaHei" w:cs="Microsoft YaHei"/>
          <w:color w:val="666666"/>
        </w:rPr>
        <w:t>2+1+X</w:t>
      </w:r>
      <w:r>
        <w:rPr>
          <w:rFonts w:ascii="Microsoft YaHei" w:eastAsia="Microsoft YaHei" w:hAnsi="Microsoft YaHei" w:cs="Microsoft YaHei"/>
          <w:color w:val="666666"/>
        </w:rPr>
        <w:t>人才培养（</w:t>
      </w:r>
      <w:r>
        <w:rPr>
          <w:rFonts w:ascii="Microsoft YaHei" w:eastAsia="Microsoft YaHei" w:hAnsi="Microsoft YaHei" w:cs="Microsoft YaHei"/>
          <w:color w:val="666666"/>
        </w:rPr>
        <w:t>2</w:t>
      </w:r>
      <w:r>
        <w:rPr>
          <w:rFonts w:ascii="Microsoft YaHei" w:eastAsia="Microsoft YaHei" w:hAnsi="Microsoft YaHei" w:cs="Microsoft YaHei"/>
          <w:color w:val="666666"/>
        </w:rPr>
        <w:t>年通识基础、</w:t>
      </w:r>
      <w:r>
        <w:rPr>
          <w:rFonts w:ascii="Microsoft YaHei" w:eastAsia="Microsoft YaHei" w:hAnsi="Microsoft YaHei" w:cs="Microsoft YaHei"/>
          <w:color w:val="666666"/>
        </w:rPr>
        <w:t>1</w:t>
      </w:r>
      <w:r>
        <w:rPr>
          <w:rFonts w:ascii="Microsoft YaHei" w:eastAsia="Microsoft YaHei" w:hAnsi="Microsoft YaHei" w:cs="Microsoft YaHei"/>
          <w:color w:val="666666"/>
        </w:rPr>
        <w:t>年专业基础、</w:t>
      </w:r>
      <w:r>
        <w:rPr>
          <w:rFonts w:ascii="Microsoft YaHei" w:eastAsia="Microsoft YaHei" w:hAnsi="Microsoft YaHei" w:cs="Microsoft YaHei"/>
          <w:color w:val="666666"/>
        </w:rPr>
        <w:t>X=1~6</w:t>
      </w:r>
      <w:r>
        <w:rPr>
          <w:rFonts w:ascii="Microsoft YaHei" w:eastAsia="Microsoft YaHei" w:hAnsi="Microsoft YaHei" w:cs="Microsoft YaHei"/>
          <w:color w:val="666666"/>
        </w:rPr>
        <w:t>年本研衔接专业修习）</w:t>
      </w:r>
      <w:r>
        <w:rPr>
          <w:rFonts w:ascii="Microsoft YaHei" w:eastAsia="Microsoft YaHei" w:hAnsi="Microsoft YaHei" w:cs="Microsoft YaHei"/>
          <w:color w:val="666666"/>
        </w:rPr>
        <w:t>，在高端导师引领下，自主选择交叉课程模块、制定个性化培养方案。学生既可在原学科继续深造，也可以在服务国家重大战略需求的工科、医科相关专业攻读硕士、博士研究生，成为引领未来的战略科学家。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（一）关于学生综合素质档案。</w:t>
      </w:r>
      <w:r>
        <w:rPr>
          <w:rFonts w:ascii="Microsoft YaHei" w:eastAsia="Microsoft YaHei" w:hAnsi="Microsoft YaHei" w:cs="Microsoft YaHei"/>
          <w:color w:val="666666"/>
        </w:rPr>
        <w:t>已建立省级统一信息平台省份，由省级教育行政部门</w:t>
      </w:r>
      <w:r>
        <w:rPr>
          <w:rFonts w:ascii="Microsoft YaHei" w:eastAsia="Microsoft YaHei" w:hAnsi="Microsoft YaHei" w:cs="Microsoft YaHei"/>
          <w:color w:val="666666"/>
        </w:rPr>
        <w:t>直接上传至强基计划报名系统</w:t>
      </w:r>
      <w:r>
        <w:rPr>
          <w:rFonts w:ascii="Microsoft YaHei" w:eastAsia="Microsoft YaHei" w:hAnsi="Microsoft YaHei" w:cs="Microsoft YaHei"/>
          <w:color w:val="666666"/>
        </w:rPr>
        <w:t>。</w:t>
      </w:r>
      <w:r>
        <w:rPr>
          <w:rFonts w:ascii="Microsoft YaHei" w:eastAsia="Microsoft YaHei" w:hAnsi="Microsoft YaHei" w:cs="Microsoft YaHei"/>
          <w:color w:val="666666"/>
        </w:rPr>
        <w:t>尚</w:t>
      </w:r>
      <w:r>
        <w:rPr>
          <w:rFonts w:ascii="Microsoft YaHei" w:eastAsia="Microsoft YaHei" w:hAnsi="Microsoft YaHei" w:cs="Microsoft YaHei"/>
          <w:color w:val="666666"/>
        </w:rPr>
        <w:t>未建立省级统一信息平台的省份，</w:t>
      </w:r>
      <w:r>
        <w:rPr>
          <w:rFonts w:ascii="Microsoft YaHei" w:eastAsia="Microsoft YaHei" w:hAnsi="Microsoft YaHei" w:cs="Microsoft YaHei"/>
          <w:color w:val="666666"/>
        </w:rPr>
        <w:t>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对于综合素质档案造假或在学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（三）强基计划录取考生入学后本科阶段不允许转专业。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（五）我校未委托任何个人或中介组织开展强基计划考试招生有关工作，不举办任何形式的营利性培训活动。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（六）学校考核工作方案可能视疫情防控要求作出相应调整，届时将另行通知。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（一）我校强基计划招生工作在同济大学招生领导小组的领导下，由同济大学本科生院招生办公室负责具体工作的组织和实施。我校在实施本简章的过程中做到招生方案公开、选拔方法公平、录取标准公示。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（三）我校强基计划招生工作接受学校招生工作监督小组的全程监督，同时接受社会监督。考试全程录像。学校监察部门监督邮箱：jcc@tongji.edu.cn。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地址：上海市四平路1239号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邮编：200092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招生咨询电话：021-65982643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传真：021-65981513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电子邮箱：tjzsb@tongji.edu.cn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同济大学本科招生网：bkzs.tongji.edu.cn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阳光高考信息平台：gaokao.chsi.com.cn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八、本简章由同济大学本科生院招生办公室负责解释。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同济大学本科生院招生办公室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2022</w:t>
      </w:r>
      <w:r>
        <w:rPr>
          <w:rFonts w:ascii="Microsoft YaHei" w:eastAsia="Microsoft YaHei" w:hAnsi="Microsoft YaHei" w:cs="Microsoft YaHei"/>
          <w:color w:val="666666"/>
        </w:rPr>
        <w:t>年4月3日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点击下载 </w:t>
      </w:r>
      <w:hyperlink r:id="rId4" w:history="1">
        <w:r>
          <w:rPr>
            <w:rFonts w:ascii="Microsoft YaHei" w:eastAsia="Microsoft YaHei" w:hAnsi="Microsoft YaHei" w:cs="Microsoft YaHei"/>
            <w:color w:val="0000EE"/>
            <w:u w:val="single" w:color="0000EE"/>
          </w:rPr>
          <w:t>附件：国家学生体质健康标准.pdf</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2.html" TargetMode="External" /><Relationship Id="rId11" Type="http://schemas.openxmlformats.org/officeDocument/2006/relationships/hyperlink" Target="http://www.gk114.com/a/gxzs/zszc/shanghai/2022/0417/22191.html" TargetMode="External" /><Relationship Id="rId12" Type="http://schemas.openxmlformats.org/officeDocument/2006/relationships/hyperlink" Target="http://www.gk114.com/a/gxzs/zszc/shanghai/2022/0417/22190.html" TargetMode="External" /><Relationship Id="rId13" Type="http://schemas.openxmlformats.org/officeDocument/2006/relationships/hyperlink" Target="http://www.gk114.com/a/gxzs/zszc/shanghai/2022/0417/22189.html" TargetMode="External" /><Relationship Id="rId14" Type="http://schemas.openxmlformats.org/officeDocument/2006/relationships/hyperlink" Target="http://www.gk114.com/a/gxzs/zszc/shanghai/2022/0417/22188.html" TargetMode="External" /><Relationship Id="rId15" Type="http://schemas.openxmlformats.org/officeDocument/2006/relationships/hyperlink" Target="http://www.gk114.com/a/gxzs/zszc/shanghai/2022/0417/22187.html" TargetMode="External" /><Relationship Id="rId16" Type="http://schemas.openxmlformats.org/officeDocument/2006/relationships/hyperlink" Target="http://www.gk114.com/a/gxzs/zszc/shanghai/2022/0417/22186.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kzs.tongji.edu.cn/themes/136/userfiles/download/2022/04/03/1648975907693676.pdf" TargetMode="External" /><Relationship Id="rId5" Type="http://schemas.openxmlformats.org/officeDocument/2006/relationships/hyperlink" Target="http://www.gk114.com/a/gxzs/zszc/shanghai/2022/0406/22076.html" TargetMode="External" /><Relationship Id="rId6" Type="http://schemas.openxmlformats.org/officeDocument/2006/relationships/hyperlink" Target="http://www.gk114.com/a/gxzs/zszc/shanghai/2022/0407/22087.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4.html"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